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02 — Analyzing the Client/Server Estate</w:t>
      </w:r>
    </w:p>
    <w:p>
      <w:pPr>
        <w:pStyle w:val="Subtitle"/>
      </w:pPr>
      <w:r>
        <w:t xml:space="preserve">Forest discovery, GPO inventory, DNS/DHCP scraping, Kerberos SPN audit, ADCS analysis — read-only, least-privilege, provenance-bound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4" w:name="X32b338ab862f877167e3584e719d08f21c608e5"/>
    <w:p>
      <w:pPr>
        <w:pStyle w:val="Heading1"/>
      </w:pPr>
      <w:r>
        <w:t xml:space="preserve">Chapter 02 — Analyzing the Client/Server Estate</w:t>
      </w:r>
    </w:p>
    <w:p>
      <w:pPr>
        <w:pStyle w:val="FirstParagraph"/>
      </w:pPr>
      <w:r>
        <w:rPr>
          <w:i/>
          <w:iCs/>
        </w:rPr>
        <w:t xml:space="preserve">Forest discovery, GPO inventory, DNS/DHCP scraping, Kerberos SPN audit,</w:t>
      </w:r>
      <w:r>
        <w:rPr>
          <w:i/>
          <w:iCs/>
        </w:rPr>
        <w:t xml:space="preserve"> </w:t>
      </w:r>
      <w:r>
        <w:rPr>
          <w:i/>
          <w:iCs/>
        </w:rPr>
        <w:t xml:space="preserve">ADCS analysis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2.1 — Eleven ingestion streams feed a single provenance-bound artifact set in Gitea</w:t>
            </w:r>
          </w:p>
        </w:tc>
      </w:tr>
    </w:tbl>
    <w:p>
      <w:pPr>
        <w:pStyle w:val="ImageCaption"/>
      </w:pPr>
      <w:r>
        <w:t xml:space="preserve">Figure 2.1 — Eleven ingestion streams feed a single provenance-bound artifact set in Gitea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assessment discipline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You cannot modernize what you have not enumerated. Every UIAO</w:t>
            </w:r>
            <w:r>
              <w:t xml:space="preserve"> </w:t>
            </w:r>
            <w:r>
              <w:t xml:space="preserve">modernization begins with a</w:t>
            </w:r>
            <w:r>
              <w:t xml:space="preserve"> </w:t>
            </w:r>
            <w:r>
              <w:rPr>
                <w:b/>
                <w:bCs/>
              </w:rPr>
              <w:t xml:space="preserve">read-only, least-privilege, provenance-bound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analysis</w:t>
            </w:r>
            <w:r>
              <w:t xml:space="preserve"> </w:t>
            </w:r>
            <w:r>
              <w:t xml:space="preserve">of the existing Client/Server estate. The output of this phase</w:t>
            </w:r>
            <w:r>
              <w:t xml:space="preserve"> </w:t>
            </w:r>
            <w:r>
              <w:t xml:space="preserve">is a structured, versioned artifact set — one per AD-dependency category —</w:t>
            </w:r>
            <w:r>
              <w:t xml:space="preserve"> </w:t>
            </w:r>
            <w:r>
              <w:t xml:space="preserve">committed to Gitea and consumed by every downstream chapter.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No writes. No guesses. No</w:t>
            </w:r>
            <w:r>
              <w:t xml:space="preserve"> </w:t>
            </w:r>
            <w:r>
              <w:t xml:space="preserve">“we’ll handle that later.”</w:t>
            </w:r>
          </w:p>
          <w:p/>
        </w:tc>
      </w:tr>
    </w:tbl>
    <w:bookmarkStart w:id="12" w:name="the-assessment-problem"/>
    <w:p>
      <w:pPr>
        <w:pStyle w:val="Heading2"/>
      </w:pPr>
      <w:r>
        <w:t xml:space="preserve">The assessment problem</w:t>
      </w:r>
    </w:p>
    <w:p>
      <w:pPr>
        <w:pStyle w:val="FirstParagraph"/>
      </w:pPr>
      <w:r>
        <w:t xml:space="preserve">When an agency asks</w:t>
      </w:r>
      <w:r>
        <w:t xml:space="preserve"> </w:t>
      </w:r>
      <w:r>
        <w:t xml:space="preserve">“what’s in our AD forest?”</w:t>
      </w:r>
      <w:r>
        <w:t xml:space="preserve"> </w:t>
      </w:r>
      <w:r>
        <w:t xml:space="preserve">the honest answer is</w:t>
      </w:r>
      <w:r>
        <w:t xml:space="preserve"> </w:t>
      </w:r>
      <w:r>
        <w:t xml:space="preserve">usually</w:t>
      </w:r>
      <w:r>
        <w:t xml:space="preserve"> </w:t>
      </w:r>
      <w:r>
        <w:rPr>
          <w:i/>
          <w:iCs/>
        </w:rPr>
        <w:t xml:space="preserve">“more than anyone currently on the team knows.”</w:t>
      </w:r>
      <w:r>
        <w:t xml:space="preserve"> </w:t>
      </w:r>
      <w:r>
        <w:t xml:space="preserve">Twenty-five</w:t>
      </w:r>
      <w:r>
        <w:t xml:space="preserve"> </w:t>
      </w:r>
      <w:r>
        <w:t xml:space="preserve">years of organic growth have produced:</w:t>
      </w:r>
    </w:p>
    <w:p>
      <w:pPr>
        <w:pStyle w:val="Compact"/>
        <w:numPr>
          <w:ilvl w:val="0"/>
          <w:numId w:val="1001"/>
        </w:numPr>
      </w:pPr>
      <w:r>
        <w:t xml:space="preserve">Forests with trust relationships no one can fully map.</w:t>
      </w:r>
    </w:p>
    <w:p>
      <w:pPr>
        <w:pStyle w:val="Compact"/>
        <w:numPr>
          <w:ilvl w:val="0"/>
          <w:numId w:val="1001"/>
        </w:numPr>
      </w:pPr>
      <w:r>
        <w:t xml:space="preserve">OU trees with orphan branches created for long-dismissed projects.</w:t>
      </w:r>
    </w:p>
    <w:p>
      <w:pPr>
        <w:pStyle w:val="Compact"/>
        <w:numPr>
          <w:ilvl w:val="0"/>
          <w:numId w:val="1001"/>
        </w:numPr>
      </w:pPr>
      <w:r>
        <w:t xml:space="preserve">GPOs whose authors left a decade ago and whose effects are unknown.</w:t>
      </w:r>
    </w:p>
    <w:p>
      <w:pPr>
        <w:pStyle w:val="Compact"/>
        <w:numPr>
          <w:ilvl w:val="0"/>
          <w:numId w:val="1001"/>
        </w:numPr>
      </w:pPr>
      <w:r>
        <w:t xml:space="preserve">Service accounts with SPNs pointed at applications no one operates.</w:t>
      </w:r>
    </w:p>
    <w:p>
      <w:pPr>
        <w:pStyle w:val="Compact"/>
        <w:numPr>
          <w:ilvl w:val="0"/>
          <w:numId w:val="1001"/>
        </w:numPr>
      </w:pPr>
      <w:r>
        <w:t xml:space="preserve">Certificate templates with permissions that silently enable ESC1-8</w:t>
      </w:r>
      <w:r>
        <w:t xml:space="preserve"> </w:t>
      </w:r>
      <w:r>
        <w:t xml:space="preserve">privilege-escalation paths.</w:t>
      </w:r>
    </w:p>
    <w:p>
      <w:pPr>
        <w:pStyle w:val="Compact"/>
        <w:numPr>
          <w:ilvl w:val="0"/>
          <w:numId w:val="1001"/>
        </w:numPr>
      </w:pPr>
      <w:r>
        <w:t xml:space="preserve">DNS zones with stale records that still resolve and still route.</w:t>
      </w:r>
    </w:p>
    <w:p>
      <w:pPr>
        <w:pStyle w:val="Compact"/>
        <w:numPr>
          <w:ilvl w:val="0"/>
          <w:numId w:val="1001"/>
        </w:numPr>
      </w:pPr>
      <w:r>
        <w:t xml:space="preserve">DHCP scopes whose reservations reference MAC addresses of machines</w:t>
      </w:r>
      <w:r>
        <w:t xml:space="preserve"> </w:t>
      </w:r>
      <w:r>
        <w:t xml:space="preserve">that have been landfill for years.</w:t>
      </w:r>
    </w:p>
    <w:p>
      <w:pPr>
        <w:pStyle w:val="FirstParagraph"/>
      </w:pPr>
      <w:r>
        <w:t xml:space="preserve">A successful modernization starts by producing the complete, structured,</w:t>
      </w:r>
      <w:r>
        <w:t xml:space="preserve"> </w:t>
      </w:r>
      <w:r>
        <w:t xml:space="preserve">current-state picture. Not a best-effort inventory. Not a sample. The</w:t>
      </w:r>
      <w:r>
        <w:t xml:space="preserve"> </w:t>
      </w:r>
      <w:r>
        <w:t xml:space="preserve">full, structured, attestation-grade record.</w:t>
      </w:r>
    </w:p>
    <w:bookmarkEnd w:id="12"/>
    <w:bookmarkStart w:id="16" w:name="three-design-principles"/>
    <w:p>
      <w:pPr>
        <w:pStyle w:val="Heading2"/>
      </w:pPr>
      <w:r>
        <w:t xml:space="preserve">Three design principles</w:t>
      </w:r>
    </w:p>
    <w:p>
      <w:pPr>
        <w:pStyle w:val="FirstParagraph"/>
      </w:pPr>
      <w:r>
        <w:t xml:space="preserve">The UIAO assessment layer enforces three principles that distinguish it</w:t>
      </w:r>
      <w:r>
        <w:t xml:space="preserve"> </w:t>
      </w:r>
      <w:r>
        <w:t xml:space="preserve">from a general-purpose AD scan.</w:t>
      </w:r>
    </w:p>
    <w:bookmarkStart w:id="13" w:name="read-only-by-policy"/>
    <w:p>
      <w:pPr>
        <w:pStyle w:val="Heading3"/>
      </w:pPr>
      <w:r>
        <w:t xml:space="preserve">1. Read-only by policy</w:t>
      </w:r>
    </w:p>
    <w:p>
      <w:pPr>
        <w:pStyle w:val="FirstParagraph"/>
      </w:pPr>
      <w:r>
        <w:t xml:space="preserve">Every assessment operation is constrained to read-only Active Directory</w:t>
      </w:r>
      <w:r>
        <w:t xml:space="preserve"> </w:t>
      </w:r>
      <w:r>
        <w:t xml:space="preserve">rights. The service account running</w:t>
      </w:r>
      <w:r>
        <w:t xml:space="preserve"> </w:t>
      </w:r>
      <w:r>
        <w:rPr>
          <w:rStyle w:val="VerbatimChar"/>
        </w:rPr>
        <w:t xml:space="preserve">UIAOADAssessment</w:t>
      </w:r>
      <w:r>
        <w:t xml:space="preserve"> </w:t>
      </w:r>
      <w:r>
        <w:t xml:space="preserve">has exactly the</w:t>
      </w:r>
      <w:r>
        <w:t xml:space="preserve"> </w:t>
      </w:r>
      <w:r>
        <w:t xml:space="preserve">permissions it needs to read — and zero beyond that. No group</w:t>
      </w:r>
      <w:r>
        <w:t xml:space="preserve"> </w:t>
      </w:r>
      <w:r>
        <w:t xml:space="preserve">memberships are changed, no GPOs edited, no password resets issued.</w:t>
      </w:r>
      <w:r>
        <w:t xml:space="preserve"> </w:t>
      </w:r>
      <w:r>
        <w:t xml:space="preserve">This is enforced at the account level (least-privilege delegation),</w:t>
      </w:r>
      <w:r>
        <w:t xml:space="preserve"> </w:t>
      </w:r>
      <w:r>
        <w:t xml:space="preserve">at the code level (no write cmdlets imported), and at the audit level</w:t>
      </w:r>
      <w:r>
        <w:t xml:space="preserve"> </w:t>
      </w:r>
      <w:r>
        <w:t xml:space="preserve">(every Graph + AD call logged with operation class).</w:t>
      </w:r>
    </w:p>
    <w:p>
      <w:pPr>
        <w:pStyle w:val="BodyText"/>
      </w:pPr>
      <w:r>
        <w:t xml:space="preserve">The practical benefit: an assessment can run against the production</w:t>
      </w:r>
      <w:r>
        <w:t xml:space="preserve"> </w:t>
      </w:r>
      <w:r>
        <w:t xml:space="preserve">forest without any change-control gate. Read-only is not an honor</w:t>
      </w:r>
      <w:r>
        <w:t xml:space="preserve"> </w:t>
      </w:r>
      <w:r>
        <w:t xml:space="preserve">system; it is a provable property.</w:t>
      </w:r>
    </w:p>
    <w:bookmarkEnd w:id="13"/>
    <w:bookmarkStart w:id="14" w:name="least-privilege-delegation"/>
    <w:p>
      <w:pPr>
        <w:pStyle w:val="Heading3"/>
      </w:pPr>
      <w:r>
        <w:t xml:space="preserve">2. Least-privilege delegation</w:t>
      </w:r>
    </w:p>
    <w:p>
      <w:pPr>
        <w:pStyle w:val="FirstParagraph"/>
      </w:pPr>
      <w:r>
        <w:t xml:space="preserve">The assessment account needs forest-wide read rights to discover the</w:t>
      </w:r>
      <w:r>
        <w:t xml:space="preserve"> </w:t>
      </w:r>
      <w:r>
        <w:t xml:space="preserve">full surface, but it does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need Domain Admin or Enterprise Admin.</w:t>
      </w:r>
      <w:r>
        <w:t xml:space="preserve"> </w:t>
      </w:r>
      <w:r>
        <w:t xml:space="preserve">A properly-delegated account achieves ~87% coverage with the</w:t>
      </w:r>
      <w:r>
        <w:t xml:space="preserve"> </w:t>
      </w:r>
      <w:r>
        <w:rPr>
          <w:b/>
          <w:bCs/>
        </w:rPr>
        <w:t xml:space="preserve">Read-Only AD Assessment Guide</w:t>
      </w:r>
      <w:r>
        <w:t xml:space="preserve"> </w:t>
      </w:r>
      <w:r>
        <w:t xml:space="preserve">profile and 100% coverage with the</w:t>
      </w:r>
      <w:r>
        <w:t xml:space="preserve"> </w:t>
      </w:r>
      <w:r>
        <w:rPr>
          <w:b/>
          <w:bCs/>
        </w:rPr>
        <w:t xml:space="preserve">AD Interaction Guide</w:t>
      </w:r>
      <w:r>
        <w:t xml:space="preserve"> </w:t>
      </w:r>
      <w:r>
        <w:t xml:space="preserve">profile (which adds GPO-read and</w:t>
      </w:r>
      <w:r>
        <w:t xml:space="preserve"> </w:t>
      </w:r>
      <w:r>
        <w:t xml:space="preserve">configuration-container-read rights).</w:t>
      </w:r>
    </w:p>
    <w:p>
      <w:pPr>
        <w:pStyle w:val="BodyText"/>
      </w:pPr>
      <w:r>
        <w:t xml:space="preserve">Two tiers map to two separate Posted reference documents: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Tier A (read-only, 87% coverage)</w:t>
      </w:r>
      <w:r>
        <w:t xml:space="preserve"> </w:t>
      </w:r>
      <w:r>
        <w:t xml:space="preserve">— default. No GPOs, no ADCS</w:t>
      </w:r>
      <w:r>
        <w:t xml:space="preserve"> </w:t>
      </w:r>
      <w:r>
        <w:t xml:space="preserve">templates, no DNS/DHCP without explicit added rights.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Tier B (read + enumerate, 100% coverage)</w:t>
      </w:r>
      <w:r>
        <w:t xml:space="preserve"> </w:t>
      </w:r>
      <w:r>
        <w:t xml:space="preserve">— adds GPO read,</w:t>
      </w:r>
      <w:r>
        <w:t xml:space="preserve"> </w:t>
      </w:r>
      <w:r>
        <w:t xml:space="preserve">ADCS template read, DNS/DHCP read, Kerberos SPN enumerate.</w:t>
      </w:r>
    </w:p>
    <w:p>
      <w:pPr>
        <w:pStyle w:val="FirstParagraph"/>
      </w:pPr>
      <w:r>
        <w:t xml:space="preserve">The tier is a governance decision — most agencies run Tier B for the</w:t>
      </w:r>
      <w:r>
        <w:t xml:space="preserve"> </w:t>
      </w:r>
      <w:r>
        <w:t xml:space="preserve">initial full assessment and Tier A for the continuous re-assessment</w:t>
      </w:r>
      <w:r>
        <w:t xml:space="preserve"> </w:t>
      </w:r>
      <w:r>
        <w:t xml:space="preserve">cadence.</w:t>
      </w:r>
    </w:p>
    <w:bookmarkEnd w:id="14"/>
    <w:bookmarkStart w:id="15" w:name="provenance-bound-output"/>
    <w:p>
      <w:pPr>
        <w:pStyle w:val="Heading3"/>
      </w:pPr>
      <w:r>
        <w:t xml:space="preserve">3. Provenance-bound output</w:t>
      </w:r>
    </w:p>
    <w:p>
      <w:pPr>
        <w:pStyle w:val="FirstParagraph"/>
      </w:pPr>
      <w:r>
        <w:t xml:space="preserve">Every assessment run produces a structured artifact set with required</w:t>
      </w:r>
      <w:r>
        <w:t xml:space="preserve"> </w:t>
      </w:r>
      <w:r>
        <w:t xml:space="preserve">metadata:</w:t>
      </w:r>
    </w:p>
    <w:p>
      <w:pPr>
        <w:pStyle w:val="Compact"/>
        <w:numPr>
          <w:ilvl w:val="0"/>
          <w:numId w:val="1003"/>
        </w:numPr>
      </w:pPr>
      <w:r>
        <w:t xml:space="preserve">Who ran it (service principal or account UPN)</w:t>
      </w:r>
    </w:p>
    <w:p>
      <w:pPr>
        <w:pStyle w:val="Compact"/>
        <w:numPr>
          <w:ilvl w:val="0"/>
          <w:numId w:val="1003"/>
        </w:numPr>
      </w:pPr>
      <w:r>
        <w:t xml:space="preserve">When (UTC timestamp)</w:t>
      </w:r>
    </w:p>
    <w:p>
      <w:pPr>
        <w:pStyle w:val="Compact"/>
        <w:numPr>
          <w:ilvl w:val="0"/>
          <w:numId w:val="1003"/>
        </w:numPr>
      </w:pPr>
      <w:r>
        <w:t xml:space="preserve">Against what (forest DNS name, domain FQDNs, DC that served the read)</w:t>
      </w:r>
    </w:p>
    <w:p>
      <w:pPr>
        <w:pStyle w:val="Compact"/>
        <w:numPr>
          <w:ilvl w:val="0"/>
          <w:numId w:val="1003"/>
        </w:numPr>
      </w:pPr>
      <w:r>
        <w:t xml:space="preserve">With what profile (Tier A / Tier B / custom)</w:t>
      </w:r>
    </w:p>
    <w:p>
      <w:pPr>
        <w:pStyle w:val="Compact"/>
        <w:numPr>
          <w:ilvl w:val="0"/>
          <w:numId w:val="1003"/>
        </w:numPr>
      </w:pPr>
      <w:r>
        <w:t xml:space="preserve">Producing what (hash of each output file)</w:t>
      </w:r>
    </w:p>
    <w:p>
      <w:pPr>
        <w:pStyle w:val="Compact"/>
        <w:numPr>
          <w:ilvl w:val="0"/>
          <w:numId w:val="1003"/>
        </w:numPr>
      </w:pPr>
      <w:r>
        <w:t xml:space="preserve">Committed where (Gitea branch, commit SHA)</w:t>
      </w:r>
    </w:p>
    <w:p>
      <w:pPr>
        <w:pStyle w:val="FirstParagraph"/>
      </w:pPr>
      <w:r>
        <w:t xml:space="preserve">A run without provenance is non-canonical and rejected by the engine.</w:t>
      </w:r>
    </w:p>
    <w:bookmarkEnd w:id="15"/>
    <w:bookmarkEnd w:id="16"/>
    <w:bookmarkStart w:id="28" w:name="the-eleven-ingestion-streams"/>
    <w:p>
      <w:pPr>
        <w:pStyle w:val="Heading2"/>
      </w:pPr>
      <w:r>
        <w:t xml:space="preserve">The eleven ingestion streams</w:t>
      </w:r>
    </w:p>
    <w:p>
      <w:pPr>
        <w:pStyle w:val="FirstParagraph"/>
      </w:pPr>
      <w:r>
        <w:t xml:space="preserve">The assessment layer produces one artifact stream per AD-dependency</w:t>
      </w:r>
      <w:r>
        <w:t xml:space="preserve"> </w:t>
      </w:r>
      <w:r>
        <w:t xml:space="preserve">category, mirroring the eleven types from Chapter 00. Each stream has</w:t>
      </w:r>
      <w:r>
        <w:t xml:space="preserve"> </w:t>
      </w:r>
      <w:r>
        <w:t xml:space="preserve">its own normalized schema and its own committed-to-Gitea location.</w:t>
      </w:r>
    </w:p>
    <w:bookmarkStart w:id="17" w:name="stream-1-forest-domain-topology"/>
    <w:p>
      <w:pPr>
        <w:pStyle w:val="Heading3"/>
      </w:pPr>
      <w:r>
        <w:t xml:space="preserve">Stream 1 — Forest + Domain topology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Forest functional level, domain trust</w:t>
      </w:r>
      <w:r>
        <w:t xml:space="preserve"> </w:t>
      </w:r>
      <w:r>
        <w:t xml:space="preserve">relationships, site topology, DC role assignments, replication</w:t>
      </w:r>
      <w:r>
        <w:t xml:space="preserve"> </w:t>
      </w:r>
      <w:r>
        <w:t xml:space="preserve">intervals, FSMO holders, DNS integration mode, Exchange schema level.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FunctionTok"/>
        </w:rPr>
        <w:t xml:space="preserve">Get-ADForest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ConvertTo-UiaoForestRecord</w:t>
      </w:r>
      <w:r>
        <w:br/>
      </w:r>
      <w:r>
        <w:rPr>
          <w:rStyle w:val="FunctionTok"/>
        </w:rPr>
        <w:t xml:space="preserve">Get-ADDomain</w:t>
      </w:r>
      <w:r>
        <w:rPr>
          <w:rStyle w:val="NormalTok"/>
        </w:rPr>
        <w:t xml:space="preserve"> 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Identity each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ConvertTo-UiaoDomainRecord</w:t>
      </w:r>
      <w:r>
        <w:br/>
      </w:r>
      <w:r>
        <w:rPr>
          <w:rStyle w:val="NormalTok"/>
        </w:rPr>
        <w:t xml:space="preserve">Get-ADReplicationSiteLink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ConvertTo-UiaoSiteLinkRecord</w:t>
      </w:r>
      <w:r>
        <w:br/>
      </w:r>
      <w:r>
        <w:rPr>
          <w:rStyle w:val="NormalTok"/>
        </w:rPr>
        <w:t xml:space="preserve">Get-ADTrust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ConvertTo-UiaoTrustRecord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assessments/&lt;run-id&gt;/forest-topology.json</w:t>
      </w:r>
      <w:r>
        <w:t xml:space="preserve"> </w:t>
      </w:r>
      <w:r>
        <w:t xml:space="preserve">— normalised</w:t>
      </w:r>
      <w:r>
        <w:t xml:space="preserve"> </w:t>
      </w:r>
      <w:r>
        <w:t xml:space="preserve">to MOD_H schema.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04 (identity strategy); DM_090 (Trust Relationships);</w:t>
      </w:r>
      <w:r>
        <w:t xml:space="preserve"> </w:t>
      </w:r>
      <w:r>
        <w:t xml:space="preserve">Chapter 09 (migration roadmap — trust relationships define cutover</w:t>
      </w:r>
      <w:r>
        <w:t xml:space="preserve"> </w:t>
      </w:r>
      <w:r>
        <w:t xml:space="preserve">gates).</w:t>
      </w:r>
    </w:p>
    <w:bookmarkEnd w:id="17"/>
    <w:bookmarkStart w:id="18" w:name="stream-2-ou-hierarchy"/>
    <w:p>
      <w:pPr>
        <w:pStyle w:val="Heading3"/>
      </w:pPr>
      <w:r>
        <w:t xml:space="preserve">Stream 2 — OU hierarchy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OU, full distinguished name, parent-child</w:t>
      </w:r>
      <w:r>
        <w:t xml:space="preserve"> </w:t>
      </w:r>
      <w:r>
        <w:t xml:space="preserve">relationships, linked GPOs, delegation ACLs (if Tier B), and user +</w:t>
      </w:r>
      <w:r>
        <w:t xml:space="preserve"> </w:t>
      </w:r>
      <w:r>
        <w:t xml:space="preserve">computer counts.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FunctionTok"/>
        </w:rPr>
        <w:t xml:space="preserve">Get-ADOrganizationalUnit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Properties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ConvertTo-UiaoOuRecord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assessments/&lt;run-id&gt;/ou-hierarchy.json</w:t>
      </w:r>
      <w:r>
        <w:t xml:space="preserve"> </w:t>
      </w:r>
      <w:r>
        <w:t xml:space="preserve">— a graph</w:t>
      </w:r>
      <w:r>
        <w:t xml:space="preserve"> </w:t>
      </w:r>
      <w:r>
        <w:t xml:space="preserve">structure consumed by the Python OrgPath-proposal generator (Chapter 03).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04 (OrgPath codebook authoring); Chapter 05 (GPO</w:t>
      </w:r>
      <w:r>
        <w:t xml:space="preserve"> </w:t>
      </w:r>
      <w:r>
        <w:t xml:space="preserve">linkage map).</w:t>
      </w:r>
    </w:p>
    <w:bookmarkEnd w:id="18"/>
    <w:bookmarkStart w:id="19" w:name="stream-3-users"/>
    <w:p>
      <w:pPr>
        <w:pStyle w:val="Heading3"/>
      </w:pPr>
      <w:r>
        <w:t xml:space="preserve">Stream 3 — Users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user object — UPN, samAccountName, DN,</w:t>
      </w:r>
      <w:r>
        <w:t xml:space="preserve"> </w:t>
      </w:r>
      <w:r>
        <w:t xml:space="preserve">enabled state, password last-set, last-logon, manager DN, member-of</w:t>
      </w:r>
      <w:r>
        <w:t xml:space="preserve"> </w:t>
      </w:r>
      <w:r>
        <w:t xml:space="preserve">groups, extensionAttribute1–15, mail, employeeID, department, office</w:t>
      </w:r>
      <w:r>
        <w:t xml:space="preserve"> </w:t>
      </w:r>
      <w:r>
        <w:t xml:space="preserve">location, and (if populated) HR-system-sourced attributes.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FunctionTok"/>
        </w:rPr>
        <w:t xml:space="preserve">Get-ADUser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Properties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ConvertTo-UiaoUserRecord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assessments/&lt;run-id&gt;/users.jsonl</w:t>
      </w:r>
      <w:r>
        <w:t xml:space="preserve"> </w:t>
      </w:r>
      <w:r>
        <w:t xml:space="preserve">— one record per line,</w:t>
      </w:r>
      <w:r>
        <w:t xml:space="preserve"> </w:t>
      </w:r>
      <w:r>
        <w:t xml:space="preserve">pseudonymized on a configurable schedule (production exports may</w:t>
      </w:r>
      <w:r>
        <w:t xml:space="preserve"> </w:t>
      </w:r>
      <w:r>
        <w:t xml:space="preserve">redact samAccountName per CUI rules).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04 (user migration); Chapter 03 (attribute-mapping</w:t>
      </w:r>
      <w:r>
        <w:t xml:space="preserve"> </w:t>
      </w:r>
      <w:r>
        <w:t xml:space="preserve">plan).</w:t>
      </w:r>
    </w:p>
    <w:bookmarkEnd w:id="19"/>
    <w:bookmarkStart w:id="20" w:name="stream-4-computers"/>
    <w:p>
      <w:pPr>
        <w:pStyle w:val="Heading3"/>
      </w:pPr>
      <w:r>
        <w:t xml:space="preserve">Stream 4 — Computers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computer object — DN, DNS hostname,</w:t>
      </w:r>
      <w:r>
        <w:t xml:space="preserve"> </w:t>
      </w:r>
      <w:r>
        <w:t xml:space="preserve">operating system, OS version, last password-set, service principal</w:t>
      </w:r>
      <w:r>
        <w:t xml:space="preserve"> </w:t>
      </w:r>
      <w:r>
        <w:t xml:space="preserve">names, last-logon timestamp, trustedForDelegation state,</w:t>
      </w:r>
      <w:r>
        <w:t xml:space="preserve"> </w:t>
      </w:r>
      <w:r>
        <w:t xml:space="preserve">msDS-SupportedEncryptionTypes.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FunctionTok"/>
        </w:rPr>
        <w:t xml:space="preserve">Get-ADComputer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Properties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ConvertTo-UiaoComputerRecord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assessments/&lt;run-id&gt;/computers.jsonl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07 (compute migration); DM_060 (Device Management</w:t>
      </w:r>
      <w:r>
        <w:t xml:space="preserve"> </w:t>
      </w:r>
      <w:r>
        <w:t xml:space="preserve">adapter); risk-scoring for stale or unconstrained-delegation hosts.</w:t>
      </w:r>
    </w:p>
    <w:bookmarkEnd w:id="20"/>
    <w:bookmarkStart w:id="21" w:name="stream-5-service-accounts-spns"/>
    <w:p>
      <w:pPr>
        <w:pStyle w:val="Heading3"/>
      </w:pPr>
      <w:r>
        <w:t xml:space="preserve">Stream 5 — Service Accounts + SPNs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All accounts with populated servicePrincipalName</w:t>
      </w:r>
      <w:r>
        <w:t xml:space="preserve"> </w:t>
      </w:r>
      <w:r>
        <w:t xml:space="preserve">values, grouped by likely application boundary; msDS-AllowedToDelegateTo</w:t>
      </w:r>
      <w:r>
        <w:t xml:space="preserve"> </w:t>
      </w:r>
      <w:r>
        <w:t xml:space="preserve">targets; gMSA / sMSA status; password-last-set gaps that indicate</w:t>
      </w:r>
      <w:r>
        <w:t xml:space="preserve"> </w:t>
      </w:r>
      <w:r>
        <w:t xml:space="preserve">stale credentials.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FunctionTok"/>
        </w:rPr>
        <w:t xml:space="preserve">Get-ADUser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servicePrincipalName </w:t>
      </w:r>
      <w:r>
        <w:rPr>
          <w:rStyle w:val="OperatorTok"/>
        </w:rPr>
        <w:t xml:space="preserve">-like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Properties servicePrincipalName</w:t>
      </w:r>
      <w:r>
        <w:br/>
      </w:r>
      <w:r>
        <w:rPr>
          <w:rStyle w:val="FunctionTok"/>
        </w:rPr>
        <w:t xml:space="preserve">Get-ADComputer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servicePrincipalName </w:t>
      </w:r>
      <w:r>
        <w:rPr>
          <w:rStyle w:val="OperatorTok"/>
        </w:rPr>
        <w:t xml:space="preserve">-like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Properties servicePrincipalName</w:t>
      </w:r>
      <w:r>
        <w:br/>
      </w:r>
      <w:r>
        <w:rPr>
          <w:rStyle w:val="FunctionTok"/>
        </w:rPr>
        <w:t xml:space="preserve">Get-ADServiceAccount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Properties </w:t>
      </w:r>
      <w:r>
        <w:rPr>
          <w:rStyle w:val="OperatorTok"/>
        </w:rPr>
        <w:t xml:space="preserve">*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assessments/&lt;run-id&gt;/spn-inventory.json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DM_085 (SPN adapter — gap); Chapter 05 (policy migration</w:t>
      </w:r>
      <w:r>
        <w:t xml:space="preserve"> </w:t>
      </w:r>
      <w:r>
        <w:t xml:space="preserve">— Kerberos-bound apps need Entra App Registration equivalents).</w:t>
      </w:r>
    </w:p>
    <w:bookmarkEnd w:id="21"/>
    <w:bookmarkStart w:id="22" w:name="stream-6-security-distribution-groups"/>
    <w:p>
      <w:pPr>
        <w:pStyle w:val="Heading3"/>
      </w:pPr>
      <w:r>
        <w:t xml:space="preserve">Stream 6 — Security + Distribution Groups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group — DN, samAccountName, group scope</w:t>
      </w:r>
      <w:r>
        <w:t xml:space="preserve"> </w:t>
      </w:r>
      <w:r>
        <w:t xml:space="preserve">(Universal/Global/DomainLocal), type (Security/Distribution), members,</w:t>
      </w:r>
      <w:r>
        <w:t xml:space="preserve"> </w:t>
      </w:r>
      <w:r>
        <w:t xml:space="preserve">member-of, and (critically) whether membership is static or rule-based.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FunctionTok"/>
        </w:rPr>
        <w:t xml:space="preserve">Get-ADGroup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Properties </w:t>
      </w:r>
      <w:r>
        <w:rPr>
          <w:rStyle w:val="OperatorTok"/>
        </w:rPr>
        <w:t xml:space="preserve">*</w:t>
      </w:r>
      <w:r>
        <w:br/>
      </w:r>
      <w:r>
        <w:rPr>
          <w:rStyle w:val="FunctionTok"/>
        </w:rPr>
        <w:t xml:space="preserve">Get-ADGroupMember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Identity each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Recursive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assessments/&lt;run-id&gt;/groups.jsonl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04 (dynamic-group authoring from OrgPath rules);</w:t>
      </w:r>
      <w:r>
        <w:t xml:space="preserve"> </w:t>
      </w:r>
      <w:r>
        <w:t xml:space="preserve">MOD_B (Dynamic Group Library target).</w:t>
      </w:r>
    </w:p>
    <w:bookmarkEnd w:id="22"/>
    <w:bookmarkStart w:id="23" w:name="stream-7-group-policy-objects"/>
    <w:p>
      <w:pPr>
        <w:pStyle w:val="Heading3"/>
      </w:pPr>
      <w:r>
        <w:t xml:space="preserve">Stream 7 — Group Policy Objects</w:t>
      </w:r>
    </w:p>
    <w:p>
      <w:pPr>
        <w:pStyle w:val="FirstParagraph"/>
      </w:pPr>
      <w:r>
        <w:rPr>
          <w:b/>
          <w:bCs/>
        </w:rPr>
        <w:t xml:space="preserve">Tier B only.</w:t>
      </w:r>
    </w:p>
    <w:p>
      <w:pPr>
        <w:pStyle w:val="BodyText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GPO — display name, GUID, link targets,</w:t>
      </w:r>
      <w:r>
        <w:t xml:space="preserve"> </w:t>
      </w:r>
      <w:r>
        <w:t xml:space="preserve">security filtering, WMI filters, enabled state, Computer and User</w:t>
      </w:r>
      <w:r>
        <w:t xml:space="preserve"> </w:t>
      </w:r>
      <w:r>
        <w:t xml:space="preserve">configuration settings (full XML export), and date-of-last-modification</w:t>
      </w:r>
      <w:r>
        <w:t xml:space="preserve"> </w:t>
      </w:r>
      <w:r>
        <w:t xml:space="preserve">per section.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FunctionTok"/>
        </w:rPr>
        <w:t xml:space="preserve">Get-GPO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All</w:t>
      </w:r>
      <w:r>
        <w:br/>
      </w:r>
      <w:r>
        <w:rPr>
          <w:rStyle w:val="FunctionTok"/>
        </w:rPr>
        <w:t xml:space="preserve">Get-GPOReport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All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ReportType Xml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ConvertTo-UiaoGpoRecord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assessments/&lt;run-id&gt;/gpos/*.xml</w:t>
      </w:r>
      <w:r>
        <w:t xml:space="preserve"> </w:t>
      </w:r>
      <w:r>
        <w:t xml:space="preserve">+ normalised</w:t>
      </w:r>
      <w:r>
        <w:t xml:space="preserve"> </w:t>
      </w:r>
      <w:r>
        <w:rPr>
          <w:rStyle w:val="VerbatimChar"/>
        </w:rPr>
        <w:t xml:space="preserve">gpo-index.json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Chapter 05 (GPO → Intune mapping); single highest-complexity</w:t>
      </w:r>
      <w:r>
        <w:t xml:space="preserve"> </w:t>
      </w:r>
      <w:r>
        <w:t xml:space="preserve">stream by word count.</w:t>
      </w:r>
    </w:p>
    <w:bookmarkEnd w:id="23"/>
    <w:bookmarkStart w:id="24" w:name="stream-8-dns-zones-records"/>
    <w:p>
      <w:pPr>
        <w:pStyle w:val="Heading3"/>
      </w:pPr>
      <w:r>
        <w:t xml:space="preserve">Stream 8 — DNS Zones + Records</w:t>
      </w:r>
    </w:p>
    <w:p>
      <w:pPr>
        <w:pStyle w:val="FirstParagraph"/>
      </w:pPr>
      <w:r>
        <w:rPr>
          <w:b/>
          <w:bCs/>
        </w:rPr>
        <w:t xml:space="preserve">Tier B only.</w:t>
      </w:r>
    </w:p>
    <w:p>
      <w:pPr>
        <w:pStyle w:val="BodyText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All AD-integrated DNS zones, non-AD zones</w:t>
      </w:r>
      <w:r>
        <w:t xml:space="preserve"> </w:t>
      </w:r>
      <w:r>
        <w:t xml:space="preserve">hosted on DCs, conditional forwarders, recursion settings, per-record</w:t>
      </w:r>
      <w:r>
        <w:t xml:space="preserve"> </w:t>
      </w:r>
      <w:r>
        <w:t xml:space="preserve">TTL + last-update, and (critically) stale records whose owning</w:t>
      </w:r>
      <w:r>
        <w:t xml:space="preserve"> </w:t>
      </w:r>
      <w:r>
        <w:t xml:space="preserve">computer object has aged out.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NormalTok"/>
        </w:rPr>
        <w:t xml:space="preserve">Get-DnsServerZone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ComputerName each-DC</w:t>
      </w:r>
      <w:r>
        <w:br/>
      </w:r>
      <w:r>
        <w:rPr>
          <w:rStyle w:val="NormalTok"/>
        </w:rPr>
        <w:t xml:space="preserve">Get-DnsServerResourceRecord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ZoneName each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ComputerName DC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assessments/&lt;run-id&gt;/dns-zones.json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dns-records.jsonl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DM_015 (DNS adapter — gap); Chapter 06 (services</w:t>
      </w:r>
      <w:r>
        <w:t xml:space="preserve"> </w:t>
      </w:r>
      <w:r>
        <w:t xml:space="preserve">transformation).</w:t>
      </w:r>
    </w:p>
    <w:bookmarkEnd w:id="24"/>
    <w:bookmarkStart w:id="25" w:name="stream-9-dhcp-scopes-reservations"/>
    <w:p>
      <w:pPr>
        <w:pStyle w:val="Heading3"/>
      </w:pPr>
      <w:r>
        <w:t xml:space="preserve">Stream 9 — DHCP Scopes + Reservations</w:t>
      </w:r>
    </w:p>
    <w:p>
      <w:pPr>
        <w:pStyle w:val="FirstParagraph"/>
      </w:pPr>
      <w:r>
        <w:rPr>
          <w:b/>
          <w:bCs/>
        </w:rPr>
        <w:t xml:space="preserve">Tier B only.</w:t>
      </w:r>
    </w:p>
    <w:p>
      <w:pPr>
        <w:pStyle w:val="BodyText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All DHCP servers (Microsoft-AD-integrated),</w:t>
      </w:r>
      <w:r>
        <w:t xml:space="preserve"> </w:t>
      </w:r>
      <w:r>
        <w:t xml:space="preserve">scopes, reservations, option sets, and failover relationships.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NormalTok"/>
        </w:rPr>
        <w:t xml:space="preserve">Get-DhcpServerInDC</w:t>
      </w:r>
      <w:r>
        <w:br/>
      </w:r>
      <w:r>
        <w:rPr>
          <w:rStyle w:val="NormalTok"/>
        </w:rPr>
        <w:t xml:space="preserve">Get-DhcpServerv4Scope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ComputerName each</w:t>
      </w:r>
      <w:r>
        <w:br/>
      </w:r>
      <w:r>
        <w:rPr>
          <w:rStyle w:val="NormalTok"/>
        </w:rPr>
        <w:t xml:space="preserve">Get-DhcpServerv4Reservation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ComputerName each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ScopeId each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assessments/&lt;run-id&gt;/dhcp-scopes.json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DM_016 (DHCP adapter — gap); Chapter 06.</w:t>
      </w:r>
    </w:p>
    <w:bookmarkEnd w:id="25"/>
    <w:bookmarkStart w:id="26" w:name="stream-10-adcs-pki"/>
    <w:p>
      <w:pPr>
        <w:pStyle w:val="Heading3"/>
      </w:pPr>
      <w:r>
        <w:t xml:space="preserve">Stream 10 — ADCS / PKI</w:t>
      </w:r>
    </w:p>
    <w:p>
      <w:pPr>
        <w:pStyle w:val="FirstParagraph"/>
      </w:pPr>
      <w:r>
        <w:rPr>
          <w:b/>
          <w:bCs/>
        </w:rPr>
        <w:t xml:space="preserve">Tier B only; highest-sensitivity stream.</w:t>
      </w:r>
    </w:p>
    <w:p>
      <w:pPr>
        <w:pStyle w:val="BodyText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All CAs in the forest (root + issuing),</w:t>
      </w:r>
      <w:r>
        <w:t xml:space="preserve"> </w:t>
      </w:r>
      <w:r>
        <w:t xml:space="preserve">published certificate templates, template permissions (including the</w:t>
      </w:r>
      <w:r>
        <w:t xml:space="preserve"> </w:t>
      </w:r>
      <w:r>
        <w:t xml:space="preserve">ESC1–8 escalation patterns), issued certificates matching</w:t>
      </w:r>
      <w:r>
        <w:t xml:space="preserve"> </w:t>
      </w:r>
      <w:r>
        <w:t xml:space="preserve">high-value EKUs, CRL distribution health.</w:t>
      </w:r>
    </w:p>
    <w:p>
      <w:pPr>
        <w:pStyle w:val="BodyText"/>
      </w:pPr>
      <w:r>
        <w:rPr>
          <w:b/>
          <w:bCs/>
        </w:rPr>
        <w:t xml:space="preserve">Cmdlet skeleton.</w:t>
      </w:r>
    </w:p>
    <w:p>
      <w:pPr>
        <w:pStyle w:val="SourceCode"/>
      </w:pPr>
      <w:r>
        <w:rPr>
          <w:rStyle w:val="NormalTok"/>
        </w:rPr>
        <w:t xml:space="preserve">Get-CertificationAuthority</w:t>
      </w:r>
      <w:r>
        <w:br/>
      </w:r>
      <w:r>
        <w:rPr>
          <w:rStyle w:val="NormalTok"/>
        </w:rPr>
        <w:t xml:space="preserve">Get-CertificateTemplate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Analyze-ADCSTemplatePermission</w:t>
      </w:r>
      <w:r>
        <w:br/>
      </w:r>
      <w:r>
        <w:rPr>
          <w:rStyle w:val="NormalTok"/>
        </w:rPr>
        <w:t xml:space="preserve">Get-IssuedCertificate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Template each</w:t>
      </w:r>
    </w:p>
    <w:p>
      <w:pPr>
        <w:pStyle w:val="FirstParagraph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assessments/&lt;run-id&gt;/adcs/</w:t>
      </w:r>
      <w:r>
        <w:t xml:space="preserve"> </w:t>
      </w:r>
      <w:r>
        <w:t xml:space="preserve">— per-CA directories with</w:t>
      </w:r>
      <w:r>
        <w:t xml:space="preserve"> </w:t>
      </w:r>
      <w:r>
        <w:t xml:space="preserve">template dumps, permission analysis, ESC1–8 findings.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DM_020 (PKI adapter); Chapter 08 (CBA migration);</w:t>
      </w:r>
      <w:r>
        <w:t xml:space="preserve"> </w:t>
      </w:r>
      <w:r>
        <w:t xml:space="preserve">compliance findings (ESC1–8 are usually FISMA AC-6 findings).</w:t>
      </w:r>
    </w:p>
    <w:bookmarkEnd w:id="26"/>
    <w:bookmarkStart w:id="27" w:name="stream-11-ldap-bindings-kerberos-spn-map"/>
    <w:p>
      <w:pPr>
        <w:pStyle w:val="Heading3"/>
      </w:pPr>
      <w:r>
        <w:t xml:space="preserve">Stream 11 — LDAP Bindings + Kerberos SPN Map</w:t>
      </w:r>
    </w:p>
    <w:p>
      <w:pPr>
        <w:pStyle w:val="FirstParagraph"/>
      </w:pPr>
      <w:r>
        <w:rPr>
          <w:b/>
          <w:bCs/>
        </w:rPr>
        <w:t xml:space="preserve">What it captures.</w:t>
      </w:r>
      <w:r>
        <w:t xml:space="preserve"> </w:t>
      </w:r>
      <w:r>
        <w:t xml:space="preserve">Every application that binds to AD via LDAP/LDAPS</w:t>
      </w:r>
      <w:r>
        <w:t xml:space="preserve"> </w:t>
      </w:r>
      <w:r>
        <w:t xml:space="preserve">or uses Kerberos SPN-based auth. Discovered via Graph analysis of</w:t>
      </w:r>
      <w:r>
        <w:t xml:space="preserve"> </w:t>
      </w:r>
      <w:r>
        <w:t xml:space="preserve">computer accounts, servicePrincipalName patterns, and (where</w:t>
      </w:r>
      <w:r>
        <w:t xml:space="preserve"> </w:t>
      </w:r>
      <w:r>
        <w:t xml:space="preserve">available) IIS / app-server config scraping.</w:t>
      </w:r>
    </w:p>
    <w:p>
      <w:pPr>
        <w:pStyle w:val="BodyText"/>
      </w:pPr>
      <w:r>
        <w:rPr>
          <w:b/>
          <w:bCs/>
        </w:rPr>
        <w:t xml:space="preserve">Output.</w:t>
      </w:r>
      <w:r>
        <w:t xml:space="preserve"> </w:t>
      </w:r>
      <w:r>
        <w:rPr>
          <w:rStyle w:val="VerbatimChar"/>
        </w:rPr>
        <w:t xml:space="preserve">assessments/&lt;run-id&gt;/ldap-bindings.jsonl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kerberos-spn-map.json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Feeds.</w:t>
      </w:r>
      <w:r>
        <w:t xml:space="preserve"> </w:t>
      </w:r>
      <w:r>
        <w:t xml:space="preserve">DM_040 (LDAP Proxy adapter); Chapter 05 (policy migration</w:t>
      </w:r>
      <w:r>
        <w:t xml:space="preserve"> </w:t>
      </w:r>
      <w:r>
        <w:t xml:space="preserve">— LDAP-bound apps need App Registration equivalents); the single</w:t>
      </w:r>
      <w:r>
        <w:t xml:space="preserve"> </w:t>
      </w:r>
      <w:r>
        <w:t xml:space="preserve">biggest source of modernization blockers in most forests.</w:t>
      </w:r>
    </w:p>
    <w:bookmarkEnd w:id="27"/>
    <w:bookmarkEnd w:id="28"/>
    <w:bookmarkStart w:id="29" w:name="python-augmentation"/>
    <w:p>
      <w:pPr>
        <w:pStyle w:val="Heading2"/>
      </w:pPr>
      <w:r>
        <w:t xml:space="preserve">Python augmentation</w:t>
      </w:r>
    </w:p>
    <w:p>
      <w:pPr>
        <w:pStyle w:val="FirstParagraph"/>
      </w:pPr>
      <w:r>
        <w:t xml:space="preserve">PowerShell is excellent at AD reads; it is less excellent at graph</w:t>
      </w:r>
      <w:r>
        <w:t xml:space="preserve"> </w:t>
      </w:r>
      <w:r>
        <w:t xml:space="preserve">analysis. Every stream that produces relational data (OU hierarchy,</w:t>
      </w:r>
      <w:r>
        <w:t xml:space="preserve"> </w:t>
      </w:r>
      <w:r>
        <w:t xml:space="preserve">GPO link graph, SPN-to-app map, trust-relationship graph) is</w:t>
      </w:r>
      <w:r>
        <w:t xml:space="preserve"> </w:t>
      </w:r>
      <w:r>
        <w:t xml:space="preserve">post-processed by a Python analyzer (</w:t>
      </w:r>
      <w:r>
        <w:rPr>
          <w:rStyle w:val="VerbatimChar"/>
        </w:rPr>
        <w:t xml:space="preserve">uiao.assess.graph</w:t>
      </w:r>
      <w:r>
        <w:t xml:space="preserve">) that</w:t>
      </w:r>
      <w:r>
        <w:t xml:space="preserve"> </w:t>
      </w:r>
      <w:r>
        <w:t xml:space="preserve">produces: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Dependency graphs</w:t>
      </w:r>
      <w:r>
        <w:t xml:space="preserve"> </w:t>
      </w:r>
      <w:r>
        <w:t xml:space="preserve">— which OUs inherit which GPOs; which apps</w:t>
      </w:r>
      <w:r>
        <w:t xml:space="preserve"> </w:t>
      </w:r>
      <w:r>
        <w:t xml:space="preserve">depend on which SPNs.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Risk scores</w:t>
      </w:r>
      <w:r>
        <w:t xml:space="preserve"> </w:t>
      </w:r>
      <w:r>
        <w:t xml:space="preserve">— stale accounts, over-privileged delegation,</w:t>
      </w:r>
      <w:r>
        <w:t xml:space="preserve"> </w:t>
      </w:r>
      <w:r>
        <w:t xml:space="preserve">ESC1–8 exposures.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OrgPath proposals</w:t>
      </w:r>
      <w:r>
        <w:t xml:space="preserve"> </w:t>
      </w:r>
      <w:r>
        <w:t xml:space="preserve">— a first-pass mapping from OU DN to proposed</w:t>
      </w:r>
      <w:r>
        <w:t xml:space="preserve"> </w:t>
      </w:r>
      <w:r>
        <w:t xml:space="preserve">OrgPath code. The steward reviews and edits; the engine does not</w:t>
      </w:r>
      <w:r>
        <w:t xml:space="preserve"> </w:t>
      </w:r>
      <w:r>
        <w:t xml:space="preserve">auto-publish.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Gap analysis reports</w:t>
      </w:r>
      <w:r>
        <w:t xml:space="preserve"> </w:t>
      </w:r>
      <w:r>
        <w:t xml:space="preserve">— OUs with no linked GPOs, GPOs with no</w:t>
      </w:r>
      <w:r>
        <w:t xml:space="preserve"> </w:t>
      </w:r>
      <w:r>
        <w:t xml:space="preserve">enabled settings, groups with zero members, computers that haven’t</w:t>
      </w:r>
      <w:r>
        <w:t xml:space="preserve"> </w:t>
      </w:r>
      <w:r>
        <w:t xml:space="preserve">logged on in 90+ days.</w:t>
      </w:r>
    </w:p>
    <w:p>
      <w:pPr>
        <w:pStyle w:val="FirstParagraph"/>
      </w:pPr>
      <w:r>
        <w:t xml:space="preserve">Python output lands in</w:t>
      </w:r>
      <w:r>
        <w:t xml:space="preserve"> </w:t>
      </w:r>
      <w:r>
        <w:rPr>
          <w:rStyle w:val="VerbatimChar"/>
        </w:rPr>
        <w:t xml:space="preserve">assessments/&lt;run-id&gt;/analysis/</w:t>
      </w:r>
      <w:r>
        <w:t xml:space="preserve"> </w:t>
      </w:r>
      <w:r>
        <w:t xml:space="preserve">as JSON +</w:t>
      </w:r>
      <w:r>
        <w:t xml:space="preserve"> </w:t>
      </w:r>
      <w:r>
        <w:t xml:space="preserve">Markdown reports consumable by both the engine and a human reviewer.</w:t>
      </w:r>
    </w:p>
    <w:bookmarkEnd w:id="29"/>
    <w:bookmarkStart w:id="30" w:name="output-format-one-artifact-set-per-run"/>
    <w:p>
      <w:pPr>
        <w:pStyle w:val="Heading2"/>
      </w:pPr>
      <w:r>
        <w:t xml:space="preserve">Output format: one artifact set per run</w:t>
      </w:r>
    </w:p>
    <w:p>
      <w:pPr>
        <w:pStyle w:val="FirstParagraph"/>
      </w:pPr>
      <w:r>
        <w:t xml:space="preserve">Every assessment run produces the same folder layout, committed to</w:t>
      </w:r>
      <w:r>
        <w:t xml:space="preserve"> </w:t>
      </w:r>
      <w:r>
        <w:t xml:space="preserve">Gitea under</w:t>
      </w:r>
      <w:r>
        <w:t xml:space="preserve"> </w:t>
      </w:r>
      <w:r>
        <w:rPr>
          <w:rStyle w:val="VerbatimChar"/>
        </w:rPr>
        <w:t xml:space="preserve">assessments/&lt;run-id&gt;/</w:t>
      </w:r>
      <w:r>
        <w:t xml:space="preserve">. The run-id is</w:t>
      </w:r>
      <w:r>
        <w:t xml:space="preserve"> </w:t>
      </w:r>
      <w:r>
        <w:rPr>
          <w:rStyle w:val="VerbatimChar"/>
        </w:rPr>
        <w:t xml:space="preserve">YYYY-MM-DD-HHmm-&lt;host&gt;-&lt;tier&gt;</w:t>
      </w:r>
      <w:r>
        <w:t xml:space="preserve"> </w:t>
      </w:r>
      <w:r>
        <w:t xml:space="preserve">(UTC).</w:t>
      </w:r>
    </w:p>
    <w:p>
      <w:pPr>
        <w:pStyle w:val="SourceCode"/>
      </w:pPr>
      <w:r>
        <w:rPr>
          <w:rStyle w:val="VerbatimChar"/>
        </w:rPr>
        <w:t xml:space="preserve">assessments/</w:t>
      </w:r>
      <w:r>
        <w:br/>
      </w:r>
      <w:r>
        <w:rPr>
          <w:rStyle w:val="VerbatimChar"/>
        </w:rPr>
        <w:t xml:space="preserve">└── 2026-04-24-1030-UIAO-GIT01-tierB/</w:t>
      </w:r>
      <w:r>
        <w:br/>
      </w:r>
      <w:r>
        <w:rPr>
          <w:rStyle w:val="VerbatimChar"/>
        </w:rPr>
        <w:t xml:space="preserve">    ├── provenance.yaml              ← who/what/when/hash</w:t>
      </w:r>
      <w:r>
        <w:br/>
      </w:r>
      <w:r>
        <w:rPr>
          <w:rStyle w:val="VerbatimChar"/>
        </w:rPr>
        <w:t xml:space="preserve">    ├── forest-topology.json</w:t>
      </w:r>
      <w:r>
        <w:br/>
      </w:r>
      <w:r>
        <w:rPr>
          <w:rStyle w:val="VerbatimChar"/>
        </w:rPr>
        <w:t xml:space="preserve">    ├── ou-hierarchy.json</w:t>
      </w:r>
      <w:r>
        <w:br/>
      </w:r>
      <w:r>
        <w:rPr>
          <w:rStyle w:val="VerbatimChar"/>
        </w:rPr>
        <w:t xml:space="preserve">    ├── users.jsonl</w:t>
      </w:r>
      <w:r>
        <w:br/>
      </w:r>
      <w:r>
        <w:rPr>
          <w:rStyle w:val="VerbatimChar"/>
        </w:rPr>
        <w:t xml:space="preserve">    ├── computers.jsonl</w:t>
      </w:r>
      <w:r>
        <w:br/>
      </w:r>
      <w:r>
        <w:rPr>
          <w:rStyle w:val="VerbatimChar"/>
        </w:rPr>
        <w:t xml:space="preserve">    ├── spn-inventory.json</w:t>
      </w:r>
      <w:r>
        <w:br/>
      </w:r>
      <w:r>
        <w:rPr>
          <w:rStyle w:val="VerbatimChar"/>
        </w:rPr>
        <w:t xml:space="preserve">    ├── groups.jsonl</w:t>
      </w:r>
      <w:r>
        <w:br/>
      </w:r>
      <w:r>
        <w:rPr>
          <w:rStyle w:val="VerbatimChar"/>
        </w:rPr>
        <w:t xml:space="preserve">    ├── gpos/</w:t>
      </w:r>
      <w:r>
        <w:br/>
      </w:r>
      <w:r>
        <w:rPr>
          <w:rStyle w:val="VerbatimChar"/>
        </w:rPr>
        <w:t xml:space="preserve">    │   ├── gpo-index.json</w:t>
      </w:r>
      <w:r>
        <w:br/>
      </w:r>
      <w:r>
        <w:rPr>
          <w:rStyle w:val="VerbatimChar"/>
        </w:rPr>
        <w:t xml:space="preserve">    │   └── {guid}.xml</w:t>
      </w:r>
      <w:r>
        <w:br/>
      </w:r>
      <w:r>
        <w:rPr>
          <w:rStyle w:val="VerbatimChar"/>
        </w:rPr>
        <w:t xml:space="preserve">    ├── dns-zones.json</w:t>
      </w:r>
      <w:r>
        <w:br/>
      </w:r>
      <w:r>
        <w:rPr>
          <w:rStyle w:val="VerbatimChar"/>
        </w:rPr>
        <w:t xml:space="preserve">    ├── dns-records.jsonl</w:t>
      </w:r>
      <w:r>
        <w:br/>
      </w:r>
      <w:r>
        <w:rPr>
          <w:rStyle w:val="VerbatimChar"/>
        </w:rPr>
        <w:t xml:space="preserve">    ├── dhcp-scopes.json</w:t>
      </w:r>
      <w:r>
        <w:br/>
      </w:r>
      <w:r>
        <w:rPr>
          <w:rStyle w:val="VerbatimChar"/>
        </w:rPr>
        <w:t xml:space="preserve">    ├── adcs/</w:t>
      </w:r>
      <w:r>
        <w:br/>
      </w:r>
      <w:r>
        <w:rPr>
          <w:rStyle w:val="VerbatimChar"/>
        </w:rPr>
        <w:t xml:space="preserve">    │   └── {ca-name}/</w:t>
      </w:r>
      <w:r>
        <w:br/>
      </w:r>
      <w:r>
        <w:rPr>
          <w:rStyle w:val="VerbatimChar"/>
        </w:rPr>
        <w:t xml:space="preserve">    ├── ldap-bindings.jsonl</w:t>
      </w:r>
      <w:r>
        <w:br/>
      </w:r>
      <w:r>
        <w:rPr>
          <w:rStyle w:val="VerbatimChar"/>
        </w:rPr>
        <w:t xml:space="preserve">    ├── kerberos-spn-map.json</w:t>
      </w:r>
      <w:r>
        <w:br/>
      </w:r>
      <w:r>
        <w:rPr>
          <w:rStyle w:val="VerbatimChar"/>
        </w:rPr>
        <w:t xml:space="preserve">    └── analysis/</w:t>
      </w:r>
      <w:r>
        <w:br/>
      </w:r>
      <w:r>
        <w:rPr>
          <w:rStyle w:val="VerbatimChar"/>
        </w:rPr>
        <w:t xml:space="preserve">        ├── orgpath-proposal.md</w:t>
      </w:r>
      <w:r>
        <w:br/>
      </w:r>
      <w:r>
        <w:rPr>
          <w:rStyle w:val="VerbatimChar"/>
        </w:rPr>
        <w:t xml:space="preserve">        ├── risk-scorecard.md</w:t>
      </w:r>
      <w:r>
        <w:br/>
      </w:r>
      <w:r>
        <w:rPr>
          <w:rStyle w:val="VerbatimChar"/>
        </w:rPr>
        <w:t xml:space="preserve">        ├── dependency-graph.json</w:t>
      </w:r>
      <w:r>
        <w:br/>
      </w:r>
      <w:r>
        <w:rPr>
          <w:rStyle w:val="VerbatimChar"/>
        </w:rPr>
        <w:t xml:space="preserve">        └── gap-findings.md</w:t>
      </w:r>
    </w:p>
    <w:p>
      <w:pPr>
        <w:pStyle w:val="FirstParagraph"/>
      </w:pPr>
      <w:r>
        <w:t xml:space="preserve">Every commit of this folder is a single</w:t>
      </w:r>
      <w:r>
        <w:t xml:space="preserve"> </w:t>
      </w:r>
      <w:r>
        <w:rPr>
          <w:rStyle w:val="VerbatimChar"/>
        </w:rPr>
        <w:t xml:space="preserve">feat(assess): run-id …</w:t>
      </w:r>
      <w:r>
        <w:t xml:space="preserve"> </w:t>
      </w:r>
      <w:r>
        <w:t xml:space="preserve">commit, signed, attributable. No assessment artifact lives outside</w:t>
      </w:r>
      <w:r>
        <w:t xml:space="preserve"> </w:t>
      </w:r>
      <w:r>
        <w:t xml:space="preserve">Gitea; no assessment run executes twice with the same run-id.</w:t>
      </w:r>
    </w:p>
    <w:bookmarkEnd w:id="30"/>
    <w:bookmarkStart w:id="31" w:name="what-happens-next"/>
    <w:p>
      <w:pPr>
        <w:pStyle w:val="Heading2"/>
      </w:pPr>
      <w:r>
        <w:t xml:space="preserve">What happens next</w:t>
      </w:r>
    </w:p>
    <w:p>
      <w:pPr>
        <w:pStyle w:val="FirstParagraph"/>
      </w:pPr>
      <w:r>
        <w:t xml:space="preserve">The output of Chapter 02 is the input to Chapter 03. The transformation</w:t>
      </w:r>
      <w:r>
        <w:t xml:space="preserve"> </w:t>
      </w:r>
      <w:r>
        <w:t xml:space="preserve">engine takes the</w:t>
      </w:r>
      <w:r>
        <w:t xml:space="preserve"> </w:t>
      </w:r>
      <w:r>
        <w:rPr>
          <w:rStyle w:val="VerbatimChar"/>
        </w:rPr>
        <w:t xml:space="preserve">assessments/&lt;run-id&gt;/</w:t>
      </w:r>
      <w:r>
        <w:t xml:space="preserve"> </w:t>
      </w:r>
      <w:r>
        <w:t xml:space="preserve">folder, runs it through the</w:t>
      </w:r>
      <w:r>
        <w:t xml:space="preserve"> </w:t>
      </w:r>
      <w:r>
        <w:t xml:space="preserve">plan generator, and produces a matched</w:t>
      </w:r>
      <w:r>
        <w:t xml:space="preserve"> </w:t>
      </w:r>
      <w:r>
        <w:rPr>
          <w:rStyle w:val="VerbatimChar"/>
        </w:rPr>
        <w:t xml:space="preserve">plans/&lt;plan-id&gt;/</w:t>
      </w:r>
      <w:r>
        <w:t xml:space="preserve"> </w:t>
      </w:r>
      <w:r>
        <w:t xml:space="preserve">folder of</w:t>
      </w:r>
      <w:r>
        <w:t xml:space="preserve"> </w:t>
      </w:r>
      <w:r>
        <w:t xml:space="preserve">deterministic transformation actions. The plan is reviewed (by the</w:t>
      </w:r>
      <w:r>
        <w:t xml:space="preserve"> </w:t>
      </w:r>
      <w:r>
        <w:t xml:space="preserve">Canon Steward + Copilot), authorized, and then dispatched to the</w:t>
      </w:r>
      <w:r>
        <w:t xml:space="preserve"> </w:t>
      </w:r>
      <w:r>
        <w:t xml:space="preserve">Execution Substrate for delivery.</w:t>
      </w:r>
    </w:p>
    <w:p>
      <w:pPr>
        <w:pStyle w:val="BodyText"/>
      </w:pPr>
      <w:r>
        <w:t xml:space="preserve">Assessment and planning are deliberately separate steps. An assessment</w:t>
      </w:r>
      <w:r>
        <w:t xml:space="preserve"> </w:t>
      </w:r>
      <w:r>
        <w:t xml:space="preserve">without a plan is a report; a plan without an assessment is a guess.</w:t>
      </w:r>
      <w:r>
        <w:t xml:space="preserve"> </w:t>
      </w:r>
      <w:r>
        <w:t xml:space="preserve">Only together do they produce governed modernization.</w:t>
      </w:r>
    </w:p>
    <w:bookmarkEnd w:id="31"/>
    <w:bookmarkStart w:id="33" w:name="reference-material"/>
    <w:p>
      <w:pPr>
        <w:pStyle w:val="Heading2"/>
      </w:pPr>
      <w:r>
        <w:t xml:space="preserve">Reference material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Posted: UIAO Active Directory Interaction Guide</w:t>
      </w:r>
      <w:r>
        <w:t xml:space="preserve"> </w:t>
      </w:r>
      <w:r>
        <w:t xml:space="preserve">(11,677 words) —</w:t>
      </w:r>
      <w:r>
        <w:t xml:space="preserve"> </w:t>
      </w:r>
      <w:r>
        <w:t xml:space="preserve">the Tier B reference implementation.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Posted: UIAO Read-Only AD Assessment Guide</w:t>
      </w:r>
      <w:r>
        <w:t xml:space="preserve"> </w:t>
      </w:r>
      <w:r>
        <w:t xml:space="preserve">(10,858 words) — the</w:t>
      </w:r>
      <w:r>
        <w:t xml:space="preserve"> </w:t>
      </w:r>
      <w:r>
        <w:t xml:space="preserve">Tier A reference implementation (least-privilege, ~87% coverage).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Posted: UIAO PowerShell Module Reference</w:t>
      </w:r>
      <w:r>
        <w:t xml:space="preserve"> </w:t>
      </w:r>
      <w:r>
        <w:t xml:space="preserve">(9,248 words) — the</w:t>
      </w:r>
      <w:r>
        <w:t xml:space="preserve"> </w:t>
      </w:r>
      <w:r>
        <w:rPr>
          <w:rStyle w:val="VerbatimChar"/>
        </w:rPr>
        <w:t xml:space="preserve">UIAOADAssessment</w:t>
      </w:r>
      <w:r>
        <w:t xml:space="preserve"> </w:t>
      </w:r>
      <w:r>
        <w:t xml:space="preserve">module surface.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MOD_I PowerShell Validation Module; MOD_H OrgPath JSON</w:t>
      </w:r>
      <w:r>
        <w:t xml:space="preserve"> </w:t>
      </w:r>
      <w:r>
        <w:t xml:space="preserve">Schema.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32">
        <w:r>
          <w:rPr>
            <w:rStyle w:val="Hyperlink"/>
          </w:rPr>
          <w:t xml:space="preserve">Chapter 03 — Analysis → Plan → Delivery</w:t>
        </w:r>
      </w:hyperlink>
    </w:p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32" Target="03-transformation-pipelin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03-transformation-pipelin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02 — Analyzing the Client/Server Estate</dc:title>
  <dc:creator/>
  <cp:keywords/>
  <dcterms:created xsi:type="dcterms:W3CDTF">2026-05-06T19:44:52Z</dcterms:created>
  <dcterms:modified xsi:type="dcterms:W3CDTF">2026-05-06T19:44:52Z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Assessment engineers · identity architects · forest admins</vt:lpwstr>
  </property>
  <property fmtid="{D5CDD505-2E9C-101B-9397-08002B2CF9AE}" pid="4" name="biblio-config">
    <vt:lpwstr>True</vt:lpwstr>
  </property>
  <property fmtid="{D5CDD505-2E9C-101B-9397-08002B2CF9AE}" pid="5" name="canon-source">
    <vt:lpwstr>Posted AD Interaction Guide + Read-Only AD Assessment Guide + MOD_I PowerShell Validation Module + UIAOADAssessment</vt:lpwstr>
  </property>
  <property fmtid="{D5CDD505-2E9C-101B-9397-08002B2CF9AE}" pid="6" name="chapter">
    <vt:lpwstr>2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Forest discovery, GPO inventory, DNS/DHCP scraping, Kerberos SPN audit, ADCS analysis — read-only, least-privilege, provenance-bound</vt:lpwstr>
  </property>
  <property fmtid="{D5CDD505-2E9C-101B-9397-08002B2CF9AE}" pid="16" name="toc-title">
    <vt:lpwstr>Table of contents</vt:lpwstr>
  </property>
</Properties>
</file>