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03 — Analysis → Plan → Delivery</w:t>
      </w:r>
    </w:p>
    <w:p>
      <w:pPr>
        <w:pStyle w:val="Subtitle"/>
      </w:pPr>
      <w:r>
        <w:t xml:space="preserve">The transformation engine — how UIAO turns an assessment into governed change on the target surface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5" w:name="chapter-03-analysis-plan-delivery"/>
    <w:p>
      <w:pPr>
        <w:pStyle w:val="Heading1"/>
      </w:pPr>
      <w:r>
        <w:t xml:space="preserve">Chapter 03 — Analysis → Plan → Delivery</w:t>
      </w:r>
    </w:p>
    <w:p>
      <w:pPr>
        <w:pStyle w:val="FirstParagraph"/>
      </w:pPr>
      <w:r>
        <w:rPr>
          <w:i/>
          <w:iCs/>
        </w:rPr>
        <w:t xml:space="preserve">The transformation engine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Figure 3.1 — Analyze → Plan → Deliver pipeline with Two-Brain authorization handoff</w:t>
            </w:r>
          </w:p>
        </w:tc>
      </w:tr>
    </w:tbl>
    <w:p>
      <w:pPr>
        <w:pStyle w:val="ImageCaption"/>
      </w:pPr>
      <w:r>
        <w:t xml:space="preserve">Figure 3.1 — Analyze → Plan → Deliver pipeline with Two-Brain authorization handoff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pipeline contract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UIAO turns an AD assessment into a delivered Hybrid-Cloud change through</w:t>
            </w:r>
            <w:r>
              <w:t xml:space="preserve"> </w:t>
            </w:r>
            <w:r>
              <w:t xml:space="preserve">three sequential stages:</w:t>
            </w:r>
            <w:r>
              <w:t xml:space="preserve"> </w:t>
            </w:r>
            <w:r>
              <w:rPr>
                <w:b/>
                <w:bCs/>
              </w:rPr>
              <w:t xml:space="preserve">Analyze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Plan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Deliver</w:t>
            </w:r>
            <w:r>
              <w:t xml:space="preserve">. Each stage</w:t>
            </w:r>
            <w:r>
              <w:t xml:space="preserve"> </w:t>
            </w:r>
            <w:r>
              <w:t xml:space="preserve">produces a signed, versioned artifact in Gitea. Each stage has a distinct</w:t>
            </w:r>
            <w:r>
              <w:t xml:space="preserve"> </w:t>
            </w:r>
            <w:r>
              <w:t xml:space="preserve">brain (Copilot or Execution Substrate) and a distinct authorization</w:t>
            </w:r>
            <w:r>
              <w:t xml:space="preserve"> </w:t>
            </w:r>
            <w:r>
              <w:t xml:space="preserve">gate. Nothing skips a stage. Nothing touches the target surface without a</w:t>
            </w:r>
            <w:r>
              <w:t xml:space="preserve"> </w:t>
            </w:r>
            <w:r>
              <w:t xml:space="preserve">plan. No plan touches the target surface without authorization.</w:t>
            </w:r>
          </w:p>
          <w:p/>
        </w:tc>
      </w:tr>
    </w:tbl>
    <w:bookmarkStart w:id="12" w:name="why-three-stages-not-one"/>
    <w:p>
      <w:pPr>
        <w:pStyle w:val="Heading2"/>
      </w:pPr>
      <w:r>
        <w:t xml:space="preserve">Why three stages (not one)</w:t>
      </w:r>
    </w:p>
    <w:p>
      <w:pPr>
        <w:pStyle w:val="FirstParagraph"/>
      </w:pPr>
      <w:r>
        <w:t xml:space="preserve">The obvious alternative —</w:t>
      </w:r>
      <w:r>
        <w:t xml:space="preserve"> </w:t>
      </w:r>
      <w:r>
        <w:t xml:space="preserve">“scan the forest, apply the changes”</w:t>
      </w:r>
      <w:r>
        <w:t xml:space="preserve"> </w:t>
      </w:r>
      <w:r>
        <w:t xml:space="preserve">— is how</w:t>
      </w:r>
      <w:r>
        <w:t xml:space="preserve"> </w:t>
      </w:r>
      <w:r>
        <w:t xml:space="preserve">most modernization tools work. It fails for three reasons: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Changes aren’t reviewable.</w:t>
      </w:r>
      <w:r>
        <w:t xml:space="preserve"> </w:t>
      </w:r>
      <w:r>
        <w:t xml:space="preserve">A tool that reads and writes in one</w:t>
      </w:r>
      <w:r>
        <w:t xml:space="preserve"> </w:t>
      </w:r>
      <w:r>
        <w:t xml:space="preserve">pass gives an operator no chance to inspect what is about to happen.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Provenance is thin.</w:t>
      </w:r>
      <w:r>
        <w:t xml:space="preserve"> </w:t>
      </w:r>
      <w:r>
        <w:t xml:space="preserve">If the scan drifts between read and write,</w:t>
      </w:r>
      <w:r>
        <w:t xml:space="preserve"> </w:t>
      </w:r>
      <w:r>
        <w:t xml:space="preserve">the resulting change is attributed to a phantom input.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Rollback is impossible.</w:t>
      </w:r>
      <w:r>
        <w:t xml:space="preserve"> </w:t>
      </w:r>
      <w:r>
        <w:t xml:space="preserve">Without a materialised plan, there is</w:t>
      </w:r>
      <w:r>
        <w:t xml:space="preserve"> </w:t>
      </w:r>
      <w:r>
        <w:t xml:space="preserve">no diff to invert.</w:t>
      </w:r>
    </w:p>
    <w:p>
      <w:pPr>
        <w:pStyle w:val="FirstParagraph"/>
      </w:pPr>
      <w:r>
        <w:t xml:space="preserve">Separating Analyze, Plan, and Deliver gives UIAO three review gates,</w:t>
      </w:r>
      <w:r>
        <w:t xml:space="preserve"> </w:t>
      </w:r>
      <w:r>
        <w:t xml:space="preserve">three audit trails, and three named artifacts per run. This is what</w:t>
      </w:r>
      <w:r>
        <w:t xml:space="preserve"> </w:t>
      </w:r>
      <w:r>
        <w:t xml:space="preserve">“governed modernization”</w:t>
      </w:r>
      <w:r>
        <w:t xml:space="preserve"> </w:t>
      </w:r>
      <w:r>
        <w:t xml:space="preserve">means in practice.</w:t>
      </w:r>
    </w:p>
    <w:bookmarkEnd w:id="12"/>
    <w:bookmarkStart w:id="13" w:name="stage-1-analyze"/>
    <w:p>
      <w:pPr>
        <w:pStyle w:val="Heading2"/>
      </w:pPr>
      <w:r>
        <w:t xml:space="preserve">Stage 1 — Analyze</w:t>
      </w:r>
    </w:p>
    <w:p>
      <w:pPr>
        <w:pStyle w:val="FirstParagraph"/>
      </w:pPr>
      <w:r>
        <w:rPr>
          <w:b/>
          <w:bCs/>
        </w:rPr>
        <w:t xml:space="preserve">Input:</w:t>
      </w:r>
      <w:r>
        <w:t xml:space="preserve"> </w:t>
      </w:r>
      <w:r>
        <w:t xml:space="preserve">the raw assessment artifact set from Chapter 02.</w:t>
      </w:r>
      <w:r>
        <w:t xml:space="preserve"> </w:t>
      </w:r>
      <w:r>
        <w:rPr>
          <w:b/>
          <w:bCs/>
        </w:rPr>
        <w:t xml:space="preserve">Output:</w:t>
      </w:r>
      <w:r>
        <w:t xml:space="preserve"> </w:t>
      </w:r>
      <w:r>
        <w:t xml:space="preserve">a normalized analysis report + a proposed change set.</w:t>
      </w:r>
      <w:r>
        <w:t xml:space="preserve"> </w:t>
      </w:r>
      <w:r>
        <w:rPr>
          <w:b/>
          <w:bCs/>
        </w:rPr>
        <w:t xml:space="preserve">Brain:</w:t>
      </w:r>
      <w:r>
        <w:t xml:space="preserve"> </w:t>
      </w:r>
      <w:r>
        <w:t xml:space="preserve">Copilot (governance).</w:t>
      </w:r>
    </w:p>
    <w:p>
      <w:pPr>
        <w:pStyle w:val="BodyText"/>
      </w:pPr>
      <w:r>
        <w:t xml:space="preserve">The Analyze stage reads the eleven ingestion streams and produces four</w:t>
      </w:r>
      <w:r>
        <w:t xml:space="preserve"> </w:t>
      </w:r>
      <w:r>
        <w:t xml:space="preserve">derivative artifacts, each stored in Gitea under</w:t>
      </w:r>
      <w:r>
        <w:t xml:space="preserve"> </w:t>
      </w:r>
      <w:r>
        <w:rPr>
          <w:rStyle w:val="VerbatimChar"/>
        </w:rPr>
        <w:t xml:space="preserve">plans/&lt;plan-id&gt;/analysis/</w:t>
      </w:r>
      <w:r>
        <w:t xml:space="preserve">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Current-state graph.</w:t>
      </w:r>
      <w:r>
        <w:t xml:space="preserve"> </w:t>
      </w:r>
      <w:r>
        <w:t xml:space="preserve">A normalized representation of the forest</w:t>
      </w:r>
      <w:r>
        <w:t xml:space="preserve"> </w:t>
      </w:r>
      <w:r>
        <w:t xml:space="preserve">— OUs, users, computers, groups, GPO links, trust edges, SPN map —</w:t>
      </w:r>
      <w:r>
        <w:t xml:space="preserve"> </w:t>
      </w:r>
      <w:r>
        <w:t xml:space="preserve">in a single graph (Python</w:t>
      </w:r>
      <w:r>
        <w:t xml:space="preserve"> </w:t>
      </w:r>
      <w:r>
        <w:rPr>
          <w:rStyle w:val="VerbatimChar"/>
        </w:rPr>
        <w:t xml:space="preserve">networkx</w:t>
      </w:r>
      <w:r>
        <w:t xml:space="preserve"> </w:t>
      </w:r>
      <w:r>
        <w:t xml:space="preserve">or equivalent). This is the</w:t>
      </w:r>
      <w:r>
        <w:t xml:space="preserve"> </w:t>
      </w:r>
      <w:r>
        <w:t xml:space="preserve">input to every downstream decision.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Target-state graph.</w:t>
      </w:r>
      <w:r>
        <w:t xml:space="preserve"> </w:t>
      </w:r>
      <w:r>
        <w:t xml:space="preserve">The proposed Hybrid-Cloud equivalent —</w:t>
      </w:r>
      <w:r>
        <w:t xml:space="preserve"> </w:t>
      </w:r>
      <w:r>
        <w:t xml:space="preserve">OrgPath hierarchy, dynamic group rule set, Administrative Unit map,</w:t>
      </w:r>
      <w:r>
        <w:t xml:space="preserve"> </w:t>
      </w:r>
      <w:r>
        <w:t xml:space="preserve">Conditional Access targeting, Intune compliance groupings, Azure Arc</w:t>
      </w:r>
      <w:r>
        <w:t xml:space="preserve"> </w:t>
      </w:r>
      <w:r>
        <w:t xml:space="preserve">tag set, IPAM record set. This is what the finished state looks like.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Diff.</w:t>
      </w:r>
      <w:r>
        <w:t xml:space="preserve"> </w:t>
      </w:r>
      <w:r>
        <w:t xml:space="preserve">The machine-readable delta between current and target. A</w:t>
      </w:r>
      <w:r>
        <w:t xml:space="preserve"> </w:t>
      </w:r>
      <w:r>
        <w:t xml:space="preserve">list of proposed additions, modifications, retirements, and</w:t>
      </w:r>
      <w:r>
        <w:t xml:space="preserve"> </w:t>
      </w:r>
      <w:r>
        <w:t xml:space="preserve">no-change-needed items, each typed and each linked to a source</w:t>
      </w:r>
      <w:r>
        <w:t xml:space="preserve"> </w:t>
      </w:r>
      <w:r>
        <w:t xml:space="preserve">record in the assessment.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Risk score.</w:t>
      </w:r>
      <w:r>
        <w:t xml:space="preserve"> </w:t>
      </w:r>
      <w:r>
        <w:t xml:space="preserve">The blast-radius model for the change set — which</w:t>
      </w:r>
      <w:r>
        <w:t xml:space="preserve"> </w:t>
      </w:r>
      <w:r>
        <w:t xml:space="preserve">users are affected, which downstream systems get touched, which</w:t>
      </w:r>
      <w:r>
        <w:t xml:space="preserve"> </w:t>
      </w:r>
      <w:r>
        <w:t xml:space="preserve">boundaries are crossed, which compliance controls are in scope.</w:t>
      </w:r>
    </w:p>
    <w:p>
      <w:pPr>
        <w:pStyle w:val="FirstParagraph"/>
      </w:pPr>
      <w:r>
        <w:t xml:space="preserve">Analysis is deterministic: given the same assessment input, it produces</w:t>
      </w:r>
      <w:r>
        <w:t xml:space="preserve"> </w:t>
      </w:r>
      <w:r>
        <w:t xml:space="preserve">the same four artifacts. This is the property the review gate depends</w:t>
      </w:r>
      <w:r>
        <w:t xml:space="preserve"> </w:t>
      </w:r>
      <w:r>
        <w:t xml:space="preserve">on. An analysis whose output varies run-to-run is broken and rejected.</w:t>
      </w:r>
    </w:p>
    <w:bookmarkEnd w:id="13"/>
    <w:bookmarkStart w:id="16" w:name="stage-2-plan"/>
    <w:p>
      <w:pPr>
        <w:pStyle w:val="Heading2"/>
      </w:pPr>
      <w:r>
        <w:t xml:space="preserve">Stage 2 — Plan</w:t>
      </w:r>
    </w:p>
    <w:p>
      <w:pPr>
        <w:pStyle w:val="FirstParagraph"/>
      </w:pPr>
      <w:r>
        <w:rPr>
          <w:b/>
          <w:bCs/>
        </w:rPr>
        <w:t xml:space="preserve">Input:</w:t>
      </w:r>
      <w:r>
        <w:t xml:space="preserve"> </w:t>
      </w:r>
      <w:r>
        <w:t xml:space="preserve">the Analyze output + canon (MOD_A codebook, MOD_B group</w:t>
      </w:r>
      <w:r>
        <w:t xml:space="preserve"> </w:t>
      </w:r>
      <w:r>
        <w:t xml:space="preserve">library, MOD_D delegation matrix, MOD_K decision trees).</w:t>
      </w:r>
      <w:r>
        <w:t xml:space="preserve"> </w:t>
      </w:r>
      <w:r>
        <w:rPr>
          <w:b/>
          <w:bCs/>
        </w:rPr>
        <w:t xml:space="preserve">Output:</w:t>
      </w:r>
      <w:r>
        <w:t xml:space="preserve"> </w:t>
      </w:r>
      <w:r>
        <w:t xml:space="preserve">a signed, executable Plan.</w:t>
      </w:r>
      <w:r>
        <w:t xml:space="preserve"> </w:t>
      </w:r>
      <w:r>
        <w:rPr>
          <w:b/>
          <w:bCs/>
        </w:rPr>
        <w:t xml:space="preserve">Brain:</w:t>
      </w:r>
      <w:r>
        <w:t xml:space="preserve"> </w:t>
      </w:r>
      <w:r>
        <w:t xml:space="preserve">Copilot (governance).</w:t>
      </w:r>
    </w:p>
    <w:p>
      <w:pPr>
        <w:pStyle w:val="BodyText"/>
      </w:pPr>
      <w:r>
        <w:t xml:space="preserve">The Plan stage takes the Diff and expands it into a structured,</w:t>
      </w:r>
      <w:r>
        <w:t xml:space="preserve"> </w:t>
      </w:r>
      <w:r>
        <w:t xml:space="preserve">deterministic action sequence. Each action is: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Typed</w:t>
      </w:r>
      <w:r>
        <w:t xml:space="preserve"> </w:t>
      </w:r>
      <w:r>
        <w:t xml:space="preserve">— one of ~30 canonical action types (e.g.</w:t>
      </w:r>
      <w:r>
        <w:t xml:space="preserve"> </w:t>
      </w:r>
      <w:r>
        <w:rPr>
          <w:rStyle w:val="VerbatimChar"/>
        </w:rPr>
        <w:t xml:space="preserve">create-user</w:t>
      </w:r>
      <w:r>
        <w:t xml:space="preserve">,</w:t>
      </w:r>
      <w:r>
        <w:t xml:space="preserve"> </w:t>
      </w:r>
      <w:r>
        <w:rPr>
          <w:rStyle w:val="VerbatimChar"/>
        </w:rPr>
        <w:t xml:space="preserve">set-extension-attribute</w:t>
      </w:r>
      <w:r>
        <w:t xml:space="preserve">,</w:t>
      </w:r>
      <w:r>
        <w:t xml:space="preserve"> </w:t>
      </w:r>
      <w:r>
        <w:rPr>
          <w:rStyle w:val="VerbatimChar"/>
        </w:rPr>
        <w:t xml:space="preserve">create-dynamic-group</w:t>
      </w:r>
      <w:r>
        <w:t xml:space="preserve">,</w:t>
      </w:r>
      <w:r>
        <w:t xml:space="preserve"> </w:t>
      </w:r>
      <w:r>
        <w:rPr>
          <w:rStyle w:val="VerbatimChar"/>
        </w:rPr>
        <w:t xml:space="preserve">assign-admin-unit</w:t>
      </w:r>
      <w:r>
        <w:t xml:space="preserve">,</w:t>
      </w:r>
      <w:r>
        <w:t xml:space="preserve"> </w:t>
      </w:r>
      <w:r>
        <w:rPr>
          <w:rStyle w:val="VerbatimChar"/>
        </w:rPr>
        <w:t xml:space="preserve">set-ca-policy-target</w:t>
      </w:r>
      <w:r>
        <w:t xml:space="preserve">,</w:t>
      </w:r>
      <w:r>
        <w:t xml:space="preserve"> </w:t>
      </w:r>
      <w:r>
        <w:rPr>
          <w:rStyle w:val="VerbatimChar"/>
        </w:rPr>
        <w:t xml:space="preserve">create-intune-compliance-policy</w:t>
      </w:r>
      <w:r>
        <w:t xml:space="preserve">,</w:t>
      </w:r>
      <w:r>
        <w:t xml:space="preserve"> </w:t>
      </w:r>
      <w:r>
        <w:rPr>
          <w:rStyle w:val="VerbatimChar"/>
        </w:rPr>
        <w:t xml:space="preserve">update-infoblox-record</w:t>
      </w:r>
      <w:r>
        <w:t xml:space="preserve">,</w:t>
      </w:r>
      <w:r>
        <w:t xml:space="preserve"> </w:t>
      </w:r>
      <w:r>
        <w:rPr>
          <w:rStyle w:val="VerbatimChar"/>
        </w:rPr>
        <w:t xml:space="preserve">enroll-arc-server</w:t>
      </w:r>
      <w:r>
        <w:t xml:space="preserve">,</w:t>
      </w:r>
      <w:r>
        <w:t xml:space="preserve"> </w:t>
      </w:r>
      <w:r>
        <w:rPr>
          <w:rStyle w:val="VerbatimChar"/>
        </w:rPr>
        <w:t xml:space="preserve">rotate-kerberos-spn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Scoped</w:t>
      </w:r>
      <w:r>
        <w:t xml:space="preserve"> </w:t>
      </w:r>
      <w:r>
        <w:t xml:space="preserve">— bounded to a single target object. No action type</w:t>
      </w:r>
      <w:r>
        <w:t xml:space="preserve"> </w:t>
      </w:r>
      <w:r>
        <w:t xml:space="preserve">permits</w:t>
      </w:r>
      <w:r>
        <w:t xml:space="preserve"> </w:t>
      </w:r>
      <w:r>
        <w:t xml:space="preserve">“update all users whose …”</w:t>
      </w:r>
      <w:r>
        <w:t xml:space="preserve">; the scope is pre-materialised.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Dependency-ordered</w:t>
      </w:r>
      <w:r>
        <w:t xml:space="preserve"> </w:t>
      </w:r>
      <w:r>
        <w:t xml:space="preserve">— actions that depend on others are ordered</w:t>
      </w:r>
      <w:r>
        <w:t xml:space="preserve"> </w:t>
      </w:r>
      <w:r>
        <w:t xml:space="preserve">behind them (create the AU before scoping the role to it).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Rollback-paired</w:t>
      </w:r>
      <w:r>
        <w:t xml:space="preserve"> </w:t>
      </w:r>
      <w:r>
        <w:t xml:space="preserve">— every action has a generated inverse, so the</w:t>
      </w:r>
      <w:r>
        <w:t xml:space="preserve"> </w:t>
      </w:r>
      <w:r>
        <w:t xml:space="preserve">same plan can be run in reverse.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Provenance-linked</w:t>
      </w:r>
      <w:r>
        <w:t xml:space="preserve"> </w:t>
      </w:r>
      <w:r>
        <w:t xml:space="preserve">— pointer back to the source assessment</w:t>
      </w:r>
      <w:r>
        <w:t xml:space="preserve"> </w:t>
      </w:r>
      <w:r>
        <w:t xml:space="preserve">record, the canon rule, and the analysis step that produced it.</w:t>
      </w:r>
    </w:p>
    <w:p>
      <w:pPr>
        <w:pStyle w:val="FirstParagraph"/>
      </w:pPr>
      <w:r>
        <w:t xml:space="preserve">A plan is a YAML document that looks, in abbreviated form, like this:</w:t>
      </w:r>
    </w:p>
    <w:p>
      <w:pPr>
        <w:pStyle w:val="SourceCode"/>
      </w:pPr>
      <w:r>
        <w:rPr>
          <w:rStyle w:val="FunctionTok"/>
        </w:rPr>
        <w:t xml:space="preserve">plan_id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2026-04-24-1200-orgtree-phase2</w:t>
      </w:r>
      <w:r>
        <w:br/>
      </w:r>
      <w:r>
        <w:rPr>
          <w:rStyle w:val="FunctionTok"/>
        </w:rPr>
        <w:t xml:space="preserve">assessment_id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2026-04-24-1030-UIAO-GIT01-tierB</w:t>
      </w:r>
      <w:r>
        <w:br/>
      </w:r>
      <w:r>
        <w:rPr>
          <w:rStyle w:val="FunctionTok"/>
        </w:rPr>
        <w:t xml:space="preserve">authorized_by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~</w:t>
      </w:r>
      <w:r>
        <w:rPr>
          <w:rStyle w:val="CommentTok"/>
        </w:rPr>
        <w:t xml:space="preserve">          # filled at authorization step</w:t>
      </w:r>
      <w:r>
        <w:br/>
      </w:r>
      <w:r>
        <w:rPr>
          <w:rStyle w:val="FunctionTok"/>
        </w:rPr>
        <w:t xml:space="preserve">boundary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gcc-moderate</w:t>
      </w:r>
      <w:r>
        <w:br/>
      </w:r>
      <w:r>
        <w:rPr>
          <w:rStyle w:val="FunctionTok"/>
        </w:rPr>
        <w:t xml:space="preserve">actions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A0001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type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create-administrative-unit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target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display_name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AU-ORG-FIN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membership_rule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"(user.extensionAttribute1 -startsWith </w:t>
      </w:r>
      <w:r>
        <w:rPr>
          <w:rStyle w:val="SpecialCharTok"/>
        </w:rPr>
        <w:t xml:space="preserve">\"</w:t>
      </w:r>
      <w:r>
        <w:rPr>
          <w:rStyle w:val="StringTok"/>
        </w:rPr>
        <w:t xml:space="preserve">ORG-FIN</w:t>
      </w:r>
      <w:r>
        <w:rPr>
          <w:rStyle w:val="SpecialCharTok"/>
        </w:rPr>
        <w:t xml:space="preserve">\"</w:t>
      </w:r>
      <w:r>
        <w:rPr>
          <w:rStyle w:val="StringTok"/>
        </w:rPr>
        <w:t xml:space="preserve">)"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restricted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provenance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source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assessments/2026-04-24-1030/ou-hierarchy.json</w:t>
      </w:r>
      <w:r>
        <w:rPr>
          <w:rStyle w:val="CommentTok"/>
        </w:rPr>
        <w:t xml:space="preserve">#ou/FIN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canon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MOD_D/tier2-au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rollback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type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delete-administrative-unit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target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AU-ORG-FIN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[]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id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A0002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type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assign-role-scoped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target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role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User Administrator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principal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OrgTree-FIN-Admins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scope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/administrativeUnits/AU-ORG-FIN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provenance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…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A0001</w:t>
      </w:r>
      <w:r>
        <w:rPr>
          <w:rStyle w:val="KeywordTok"/>
        </w:rPr>
        <w:t xml:space="preserve">]</w:t>
      </w:r>
    </w:p>
    <w:bookmarkStart w:id="14" w:name="plan-validation"/>
    <w:p>
      <w:pPr>
        <w:pStyle w:val="Heading3"/>
      </w:pPr>
      <w:r>
        <w:t xml:space="preserve">Plan validation</w:t>
      </w:r>
    </w:p>
    <w:p>
      <w:pPr>
        <w:pStyle w:val="FirstParagraph"/>
      </w:pPr>
      <w:r>
        <w:t xml:space="preserve">Before a plan is eligible for authorization, it passes through</w:t>
      </w:r>
      <w:r>
        <w:t xml:space="preserve"> </w:t>
      </w:r>
      <w:r>
        <w:t xml:space="preserve">MOD_J (Governance Enforcement Test Suite):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Schema validation</w:t>
      </w:r>
      <w:r>
        <w:t xml:space="preserve"> </w:t>
      </w:r>
      <w:r>
        <w:t xml:space="preserve">— conforms to the plan JSON schema.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Canon validation</w:t>
      </w:r>
      <w:r>
        <w:t xml:space="preserve"> </w:t>
      </w:r>
      <w:r>
        <w:t xml:space="preserve">— every OrgPath used exists in MOD_A; every</w:t>
      </w:r>
      <w:r>
        <w:t xml:space="preserve"> </w:t>
      </w:r>
      <w:r>
        <w:t xml:space="preserve">dynamic-group name fits MOD_B’s pattern; every AU matches MOD_D’s</w:t>
      </w:r>
      <w:r>
        <w:t xml:space="preserve"> </w:t>
      </w:r>
      <w:r>
        <w:t xml:space="preserve">tier-structure; every role assignment is valid.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Boundary validation</w:t>
      </w:r>
      <w:r>
        <w:t xml:space="preserve"> </w:t>
      </w:r>
      <w:r>
        <w:t xml:space="preserve">— no action targets an out-of-scope service;</w:t>
      </w:r>
      <w:r>
        <w:t xml:space="preserve"> </w:t>
      </w:r>
      <w:r>
        <w:t xml:space="preserve">no Commercial-Cloud call except Amazon Connect; classification</w:t>
      </w:r>
      <w:r>
        <w:t xml:space="preserve"> </w:t>
      </w:r>
      <w:r>
        <w:t xml:space="preserve">tags correctly set.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Safety checks</w:t>
      </w:r>
      <w:r>
        <w:t xml:space="preserve"> </w:t>
      </w:r>
      <w:r>
        <w:t xml:space="preserve">— no action deletes more than N items at once</w:t>
      </w:r>
      <w:r>
        <w:t xml:space="preserve"> </w:t>
      </w:r>
      <w:r>
        <w:t xml:space="preserve">without explicit</w:t>
      </w:r>
      <w:r>
        <w:t xml:space="preserve"> </w:t>
      </w:r>
      <w:r>
        <w:rPr>
          <w:rStyle w:val="VerbatimChar"/>
        </w:rPr>
        <w:t xml:space="preserve">require_confirmation</w:t>
      </w:r>
      <w:r>
        <w:t xml:space="preserve">; no rotation of credentials</w:t>
      </w:r>
      <w:r>
        <w:t xml:space="preserve"> </w:t>
      </w:r>
      <w:r>
        <w:t xml:space="preserve">for roles marked</w:t>
      </w:r>
      <w:r>
        <w:t xml:space="preserve"> </w:t>
      </w:r>
      <w:r>
        <w:rPr>
          <w:rStyle w:val="VerbatimChar"/>
        </w:rPr>
        <w:t xml:space="preserve">permanence: high</w:t>
      </w:r>
      <w:r>
        <w:t xml:space="preserve">; no change to the governance</w:t>
      </w:r>
      <w:r>
        <w:t xml:space="preserve"> </w:t>
      </w:r>
      <w:r>
        <w:t xml:space="preserve">substrate itself outside a Canon Change Protocol PR.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Idempotency check</w:t>
      </w:r>
      <w:r>
        <w:t xml:space="preserve"> </w:t>
      </w:r>
      <w:r>
        <w:t xml:space="preserve">— the plan is equivalent to re-planning from</w:t>
      </w:r>
      <w:r>
        <w:t xml:space="preserve"> </w:t>
      </w:r>
      <w:r>
        <w:t xml:space="preserve">the current state (so a re-run of a partially-completed plan is</w:t>
      </w:r>
      <w:r>
        <w:t xml:space="preserve"> </w:t>
      </w:r>
      <w:r>
        <w:t xml:space="preserve">safe).</w:t>
      </w:r>
    </w:p>
    <w:p>
      <w:pPr>
        <w:pStyle w:val="FirstParagraph"/>
      </w:pPr>
      <w:r>
        <w:t xml:space="preserve">A plan that fails any validation is rejected and the diff returned to</w:t>
      </w:r>
      <w:r>
        <w:t xml:space="preserve"> </w:t>
      </w:r>
      <w:r>
        <w:t xml:space="preserve">the steward for correction. Plans never partially-ship.</w:t>
      </w:r>
    </w:p>
    <w:bookmarkEnd w:id="14"/>
    <w:bookmarkStart w:id="15" w:name="authorization-gate"/>
    <w:p>
      <w:pPr>
        <w:pStyle w:val="Heading3"/>
      </w:pPr>
      <w:r>
        <w:t xml:space="preserve">Authorization gate</w:t>
      </w:r>
    </w:p>
    <w:p>
      <w:pPr>
        <w:pStyle w:val="FirstParagraph"/>
      </w:pPr>
      <w:r>
        <w:t xml:space="preserve">A validated plan is not yet executable. Authorization requires:</w:t>
      </w:r>
    </w:p>
    <w:p>
      <w:pPr>
        <w:pStyle w:val="Compact"/>
        <w:numPr>
          <w:ilvl w:val="0"/>
          <w:numId w:val="1005"/>
        </w:numPr>
      </w:pPr>
      <w:r>
        <w:t xml:space="preserve">Canon Steward review in the Gitea PR interface.</w:t>
      </w:r>
    </w:p>
    <w:p>
      <w:pPr>
        <w:pStyle w:val="Compact"/>
        <w:numPr>
          <w:ilvl w:val="0"/>
          <w:numId w:val="1005"/>
        </w:numPr>
      </w:pPr>
      <w:r>
        <w:t xml:space="preserve">A Copilot-generated summary of the plan’s blast radius, attached to</w:t>
      </w:r>
      <w:r>
        <w:t xml:space="preserve"> </w:t>
      </w:r>
      <w:r>
        <w:t xml:space="preserve">the PR.</w:t>
      </w:r>
    </w:p>
    <w:p>
      <w:pPr>
        <w:pStyle w:val="Compact"/>
        <w:numPr>
          <w:ilvl w:val="0"/>
          <w:numId w:val="1005"/>
        </w:numPr>
      </w:pPr>
      <w:r>
        <w:t xml:space="preserve">At least one approver of record (separation-of-duties).</w:t>
      </w:r>
    </w:p>
    <w:p>
      <w:pPr>
        <w:pStyle w:val="Compact"/>
        <w:numPr>
          <w:ilvl w:val="0"/>
          <w:numId w:val="1005"/>
        </w:numPr>
      </w:pPr>
      <w:r>
        <w:t xml:space="preserve">Explicit sign-off on any actions marked</w:t>
      </w:r>
      <w:r>
        <w:t xml:space="preserve"> </w:t>
      </w:r>
      <w:r>
        <w:rPr>
          <w:rStyle w:val="VerbatimChar"/>
        </w:rPr>
        <w:t xml:space="preserve">require_confirmation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A signed commit merging the plan into</w:t>
      </w:r>
      <w:r>
        <w:t xml:space="preserve"> </w:t>
      </w:r>
      <w:r>
        <w:rPr>
          <w:rStyle w:val="VerbatimChar"/>
        </w:rPr>
        <w:t xml:space="preserve">plans/&lt;plan-id&gt;/authorized/</w:t>
      </w:r>
      <w:r>
        <w:t xml:space="preserve">.</w:t>
      </w:r>
    </w:p>
    <w:p>
      <w:pPr>
        <w:pStyle w:val="FirstParagraph"/>
      </w:pPr>
      <w:r>
        <w:t xml:space="preserve">Only after these gates complete does the plan graduate from</w:t>
      </w:r>
      <w:r>
        <w:t xml:space="preserve"> </w:t>
      </w:r>
      <w:r>
        <w:rPr>
          <w:rStyle w:val="VerbatimChar"/>
        </w:rPr>
        <w:t xml:space="preserve">plans/&lt;plan-id&gt;/proposed/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plans/&lt;plan-id&gt;/authorized/</w:t>
      </w:r>
      <w:r>
        <w:t xml:space="preserve">. Only an</w:t>
      </w:r>
      <w:r>
        <w:t xml:space="preserve"> </w:t>
      </w:r>
      <w:r>
        <w:t xml:space="preserve">authorized plan can cross the handoff line to the Execution Substrate.</w:t>
      </w:r>
    </w:p>
    <w:bookmarkEnd w:id="15"/>
    <w:bookmarkEnd w:id="16"/>
    <w:bookmarkStart w:id="19" w:name="stage-3-deliver"/>
    <w:p>
      <w:pPr>
        <w:pStyle w:val="Heading2"/>
      </w:pPr>
      <w:r>
        <w:t xml:space="preserve">Stage 3 — Deliver</w:t>
      </w:r>
    </w:p>
    <w:p>
      <w:pPr>
        <w:pStyle w:val="FirstParagraph"/>
      </w:pPr>
      <w:r>
        <w:rPr>
          <w:b/>
          <w:bCs/>
        </w:rPr>
        <w:t xml:space="preserve">Input:</w:t>
      </w:r>
      <w:r>
        <w:t xml:space="preserve"> </w:t>
      </w:r>
      <w:r>
        <w:t xml:space="preserve">the authorized plan.</w:t>
      </w:r>
      <w:r>
        <w:t xml:space="preserve"> </w:t>
      </w:r>
      <w:r>
        <w:rPr>
          <w:b/>
          <w:bCs/>
        </w:rPr>
        <w:t xml:space="preserve">Output:</w:t>
      </w:r>
      <w:r>
        <w:t xml:space="preserve"> </w:t>
      </w:r>
      <w:r>
        <w:t xml:space="preserve">a result log, an evidence packet, and updated state in the</w:t>
      </w:r>
      <w:r>
        <w:t xml:space="preserve"> </w:t>
      </w:r>
      <w:r>
        <w:t xml:space="preserve">target surface.</w:t>
      </w:r>
      <w:r>
        <w:t xml:space="preserve"> </w:t>
      </w:r>
      <w:r>
        <w:rPr>
          <w:b/>
          <w:bCs/>
        </w:rPr>
        <w:t xml:space="preserve">Brain:</w:t>
      </w:r>
      <w:r>
        <w:t xml:space="preserve"> </w:t>
      </w:r>
      <w:r>
        <w:t xml:space="preserve">Execution Substrate (execution).</w:t>
      </w:r>
    </w:p>
    <w:p>
      <w:pPr>
        <w:pStyle w:val="BodyText"/>
      </w:pPr>
      <w:r>
        <w:t xml:space="preserve">The Execution Substrate is deliberately a different process, running</w:t>
      </w:r>
      <w:r>
        <w:t xml:space="preserve"> </w:t>
      </w:r>
      <w:r>
        <w:t xml:space="preserve">under a different service principal, with a different credential store</w:t>
      </w:r>
      <w:r>
        <w:t xml:space="preserve"> </w:t>
      </w:r>
      <w:r>
        <w:t xml:space="preserve">and a different log stream than the governance brain. This is the</w:t>
      </w:r>
      <w:r>
        <w:t xml:space="preserve"> </w:t>
      </w:r>
      <w:r>
        <w:t xml:space="preserve">Two-Brain split made concrete (ADR-002, chapter 01).</w:t>
      </w:r>
    </w:p>
    <w:p>
      <w:pPr>
        <w:pStyle w:val="BodyText"/>
      </w:pPr>
      <w:r>
        <w:t xml:space="preserve">Delivery proceeds as a linear walk through the plan’s action list.</w:t>
      </w:r>
      <w:r>
        <w:t xml:space="preserve"> </w:t>
      </w:r>
      <w:r>
        <w:t xml:space="preserve">For each action: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Fetch</w:t>
      </w:r>
      <w:r>
        <w:t xml:space="preserve"> </w:t>
      </w:r>
      <w:r>
        <w:t xml:space="preserve">the action spec from the authorized plan.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Resolve</w:t>
      </w:r>
      <w:r>
        <w:t xml:space="preserve"> </w:t>
      </w:r>
      <w:r>
        <w:t xml:space="preserve">the target object (Graph API lookup, Infoblox WAPI</w:t>
      </w:r>
      <w:r>
        <w:t xml:space="preserve"> </w:t>
      </w:r>
      <w:r>
        <w:t xml:space="preserve">fetch, Intune policy lookup, etc.).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Compare</w:t>
      </w:r>
      <w:r>
        <w:t xml:space="preserve"> </w:t>
      </w:r>
      <w:r>
        <w:t xml:space="preserve">current live state to the action’s expected-before</w:t>
      </w:r>
      <w:r>
        <w:t xml:space="preserve"> </w:t>
      </w:r>
      <w:r>
        <w:t xml:space="preserve">state. If the world already matches expected-after, the action is</w:t>
      </w:r>
      <w:r>
        <w:t xml:space="preserve"> </w:t>
      </w:r>
      <w:r>
        <w:t xml:space="preserve">a no-op — mark as</w:t>
      </w:r>
      <w:r>
        <w:t xml:space="preserve"> </w:t>
      </w:r>
      <w:r>
        <w:rPr>
          <w:rStyle w:val="VerbatimChar"/>
        </w:rPr>
        <w:t xml:space="preserve">skipped: already-matches</w:t>
      </w:r>
      <w:r>
        <w:t xml:space="preserve"> </w:t>
      </w:r>
      <w:r>
        <w:t xml:space="preserve">and continue.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Invoke</w:t>
      </w:r>
      <w:r>
        <w:t xml:space="preserve"> </w:t>
      </w:r>
      <w:r>
        <w:t xml:space="preserve">the adapter’s write method with the action payload.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Verify</w:t>
      </w:r>
      <w:r>
        <w:t xml:space="preserve"> </w:t>
      </w:r>
      <w:r>
        <w:t xml:space="preserve">by re-reading the object and comparing to expected-after.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Record</w:t>
      </w:r>
      <w:r>
        <w:t xml:space="preserve"> </w:t>
      </w:r>
      <w:r>
        <w:t xml:space="preserve">the result — correlation ID, API response, timing,</w:t>
      </w:r>
      <w:r>
        <w:t xml:space="preserve"> </w:t>
      </w:r>
      <w:r>
        <w:t xml:space="preserve">actual-after state — to</w:t>
      </w:r>
      <w:r>
        <w:t xml:space="preserve"> </w:t>
      </w:r>
      <w:r>
        <w:rPr>
          <w:rStyle w:val="VerbatimChar"/>
        </w:rPr>
        <w:t xml:space="preserve">plans/&lt;plan-id&gt;/results/&lt;action-id&gt;.json</w:t>
      </w:r>
      <w:r>
        <w:t xml:space="preserve">.</w:t>
      </w:r>
    </w:p>
    <w:bookmarkStart w:id="17" w:name="correlation-ids"/>
    <w:p>
      <w:pPr>
        <w:pStyle w:val="Heading3"/>
      </w:pPr>
      <w:r>
        <w:t xml:space="preserve">Correlation IDs</w:t>
      </w:r>
    </w:p>
    <w:p>
      <w:pPr>
        <w:pStyle w:val="FirstParagraph"/>
      </w:pPr>
      <w:r>
        <w:t xml:space="preserve">Every invocation carries a correlation ID that includes the plan ID,</w:t>
      </w:r>
      <w:r>
        <w:t xml:space="preserve"> </w:t>
      </w:r>
      <w:r>
        <w:t xml:space="preserve">the action ID, and a unique run ID. That ID appears in:</w:t>
      </w:r>
    </w:p>
    <w:p>
      <w:pPr>
        <w:pStyle w:val="Compact"/>
        <w:numPr>
          <w:ilvl w:val="0"/>
          <w:numId w:val="1007"/>
        </w:numPr>
      </w:pPr>
      <w:r>
        <w:t xml:space="preserve">The Graph/ARM/vendor-API call headers (so vendor-side logs can be</w:t>
      </w:r>
      <w:r>
        <w:t xml:space="preserve"> </w:t>
      </w:r>
      <w:r>
        <w:t xml:space="preserve">cross-referenced).</w:t>
      </w:r>
    </w:p>
    <w:p>
      <w:pPr>
        <w:pStyle w:val="Compact"/>
        <w:numPr>
          <w:ilvl w:val="0"/>
          <w:numId w:val="1007"/>
        </w:numPr>
      </w:pPr>
      <w:r>
        <w:t xml:space="preserve">The local-machine Windows Event Log + Gitea commit message.</w:t>
      </w:r>
    </w:p>
    <w:p>
      <w:pPr>
        <w:pStyle w:val="Compact"/>
        <w:numPr>
          <w:ilvl w:val="0"/>
          <w:numId w:val="1007"/>
        </w:numPr>
      </w:pPr>
      <w:r>
        <w:t xml:space="preserve">The evidence packet’s provenance chain.</w:t>
      </w:r>
    </w:p>
    <w:p>
      <w:pPr>
        <w:pStyle w:val="Compact"/>
        <w:numPr>
          <w:ilvl w:val="0"/>
          <w:numId w:val="1007"/>
        </w:numPr>
      </w:pPr>
      <w:r>
        <w:t xml:space="preserve">The MOD_X telemetry emission.</w:t>
      </w:r>
    </w:p>
    <w:p>
      <w:pPr>
        <w:pStyle w:val="FirstParagraph"/>
      </w:pPr>
      <w:r>
        <w:t xml:space="preserve">A support case opened on a specific action can be traced end-to-end</w:t>
      </w:r>
      <w:r>
        <w:t xml:space="preserve"> </w:t>
      </w:r>
      <w:r>
        <w:t xml:space="preserve">through every log stream. This is a requirement for federal audit,</w:t>
      </w:r>
      <w:r>
        <w:t xml:space="preserve"> </w:t>
      </w:r>
      <w:r>
        <w:t xml:space="preserve">not a nice-to-have.</w:t>
      </w:r>
    </w:p>
    <w:bookmarkEnd w:id="17"/>
    <w:bookmarkStart w:id="18" w:name="failure-modes-and-rollback"/>
    <w:p>
      <w:pPr>
        <w:pStyle w:val="Heading3"/>
      </w:pPr>
      <w:r>
        <w:t xml:space="preserve">Failure modes and rollback</w:t>
      </w:r>
    </w:p>
    <w:p>
      <w:pPr>
        <w:pStyle w:val="FirstParagraph"/>
      </w:pPr>
      <w:r>
        <w:t xml:space="preserve">An action can fail for three reasons: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Transient</w:t>
      </w:r>
      <w:r>
        <w:t xml:space="preserve"> </w:t>
      </w:r>
      <w:r>
        <w:t xml:space="preserve">— network blip, throttling. Retried with backoff,</w:t>
      </w:r>
      <w:r>
        <w:t xml:space="preserve"> </w:t>
      </w:r>
      <w:r>
        <w:t xml:space="preserve">capped at N attempts.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Adapter error</w:t>
      </w:r>
      <w:r>
        <w:t xml:space="preserve"> </w:t>
      </w:r>
      <w:r>
        <w:t xml:space="preserve">— vendor API returned 4xx/5xx. Action marked</w:t>
      </w:r>
      <w:r>
        <w:t xml:space="preserve"> </w:t>
      </w:r>
      <w:r>
        <w:rPr>
          <w:rStyle w:val="VerbatimChar"/>
        </w:rPr>
        <w:t xml:space="preserve">failed</w:t>
      </w:r>
      <w:r>
        <w:t xml:space="preserve">; plan execution stops; no dependent actions run.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Verification mismatch</w:t>
      </w:r>
      <w:r>
        <w:t xml:space="preserve"> </w:t>
      </w:r>
      <w:r>
        <w:t xml:space="preserve">— action invoked cleanly but re-read does</w:t>
      </w:r>
      <w:r>
        <w:t xml:space="preserve"> </w:t>
      </w:r>
      <w:r>
        <w:t xml:space="preserve">not match expected-after. Action marked</w:t>
      </w:r>
      <w:r>
        <w:t xml:space="preserve"> </w:t>
      </w:r>
      <w:r>
        <w:rPr>
          <w:rStyle w:val="VerbatimChar"/>
        </w:rPr>
        <w:t xml:space="preserve">drift</w:t>
      </w:r>
      <w:r>
        <w:t xml:space="preserve">; plan paused; MOD_M</w:t>
      </w:r>
      <w:r>
        <w:t xml:space="preserve"> </w:t>
      </w:r>
      <w:r>
        <w:t xml:space="preserve">opens an SLA ticket.</w:t>
      </w:r>
    </w:p>
    <w:p>
      <w:pPr>
        <w:pStyle w:val="FirstParagraph"/>
      </w:pPr>
      <w:r>
        <w:t xml:space="preserve">On any non-transient failure, the plan has a choice: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Halt</w:t>
      </w:r>
      <w:r>
        <w:t xml:space="preserve"> </w:t>
      </w:r>
      <w:r>
        <w:t xml:space="preserve">— stop at the failure; leave completed actions in place;</w:t>
      </w:r>
      <w:r>
        <w:t xml:space="preserve"> </w:t>
      </w:r>
      <w:r>
        <w:t xml:space="preserve">return to steward for remediation.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Roll back</w:t>
      </w:r>
      <w:r>
        <w:t xml:space="preserve"> </w:t>
      </w:r>
      <w:r>
        <w:t xml:space="preserve">— invoke the rollback inverse for every completed</w:t>
      </w:r>
      <w:r>
        <w:t xml:space="preserve"> </w:t>
      </w:r>
      <w:r>
        <w:t xml:space="preserve">action in reverse order. Each rollback is itself a verified</w:t>
      </w:r>
      <w:r>
        <w:t xml:space="preserve"> </w:t>
      </w:r>
      <w:r>
        <w:t xml:space="preserve">operation with its own result log.</w:t>
      </w:r>
    </w:p>
    <w:p>
      <w:pPr>
        <w:pStyle w:val="FirstParagraph"/>
      </w:pPr>
      <w:r>
        <w:t xml:space="preserve">The choice is action-typed (some actions are</w:t>
      </w:r>
      <w:r>
        <w:t xml:space="preserve"> </w:t>
      </w:r>
      <w:r>
        <w:rPr>
          <w:rStyle w:val="VerbatimChar"/>
        </w:rPr>
        <w:t xml:space="preserve">rollback: never</w:t>
      </w:r>
      <w:r>
        <w:t xml:space="preserve"> </w:t>
      </w:r>
      <w:r>
        <w:t xml:space="preserve">—</w:t>
      </w:r>
      <w:r>
        <w:t xml:space="preserve"> </w:t>
      </w:r>
      <w:r>
        <w:t xml:space="preserve">e.g. once you’ve deprovisioned a user, you rehire them, you do not</w:t>
      </w:r>
      <w:r>
        <w:t xml:space="preserve"> </w:t>
      </w:r>
      <w:r>
        <w:t xml:space="preserve">“undelete”</w:t>
      </w:r>
      <w:r>
        <w:t xml:space="preserve"> </w:t>
      </w:r>
      <w:r>
        <w:t xml:space="preserve">them). The default is halt; rollback is explicit.</w:t>
      </w:r>
    </w:p>
    <w:bookmarkEnd w:id="18"/>
    <w:bookmarkEnd w:id="19"/>
    <w:bookmarkStart w:id="20" w:name="evidence-packet"/>
    <w:p>
      <w:pPr>
        <w:pStyle w:val="Heading2"/>
      </w:pPr>
      <w:r>
        <w:t xml:space="preserve">Evidence packet</w:t>
      </w:r>
    </w:p>
    <w:p>
      <w:pPr>
        <w:pStyle w:val="FirstParagraph"/>
      </w:pPr>
      <w:r>
        <w:t xml:space="preserve">At the end of delivery, the engine produces an evidence packet —</w:t>
      </w:r>
      <w:r>
        <w:t xml:space="preserve"> </w:t>
      </w:r>
      <w:r>
        <w:t xml:space="preserve">a single immutable artifact that summarises the run for compliance</w:t>
      </w:r>
      <w:r>
        <w:t xml:space="preserve"> </w:t>
      </w:r>
      <w:r>
        <w:t xml:space="preserve">and audit purposes. The packet contains:</w:t>
      </w:r>
    </w:p>
    <w:p>
      <w:pPr>
        <w:pStyle w:val="Compact"/>
        <w:numPr>
          <w:ilvl w:val="0"/>
          <w:numId w:val="1010"/>
        </w:numPr>
      </w:pPr>
      <w:r>
        <w:t xml:space="preserve">The authorized plan (with Steward signature).</w:t>
      </w:r>
    </w:p>
    <w:p>
      <w:pPr>
        <w:pStyle w:val="Compact"/>
        <w:numPr>
          <w:ilvl w:val="0"/>
          <w:numId w:val="1010"/>
        </w:numPr>
      </w:pPr>
      <w:r>
        <w:t xml:space="preserve">Every action result (with verification state + correlation IDs).</w:t>
      </w:r>
    </w:p>
    <w:p>
      <w:pPr>
        <w:pStyle w:val="Compact"/>
        <w:numPr>
          <w:ilvl w:val="0"/>
          <w:numId w:val="1010"/>
        </w:numPr>
      </w:pPr>
      <w:r>
        <w:t xml:space="preserve">The actual-after state of every affected object (Graph snapshot).</w:t>
      </w:r>
    </w:p>
    <w:p>
      <w:pPr>
        <w:pStyle w:val="Compact"/>
        <w:numPr>
          <w:ilvl w:val="0"/>
          <w:numId w:val="1010"/>
        </w:numPr>
      </w:pPr>
      <w:r>
        <w:t xml:space="preserve">The full run log (structured JSON).</w:t>
      </w:r>
    </w:p>
    <w:p>
      <w:pPr>
        <w:pStyle w:val="Compact"/>
        <w:numPr>
          <w:ilvl w:val="0"/>
          <w:numId w:val="1010"/>
        </w:numPr>
      </w:pPr>
      <w:r>
        <w:t xml:space="preserve">An MOD_X telemetry export (compliance-facing).</w:t>
      </w:r>
    </w:p>
    <w:p>
      <w:pPr>
        <w:pStyle w:val="Compact"/>
        <w:numPr>
          <w:ilvl w:val="0"/>
          <w:numId w:val="1010"/>
        </w:numPr>
      </w:pPr>
      <w:r>
        <w:t xml:space="preserve">A signed attestation from the Execution Substrate that</w:t>
      </w:r>
      <w:r>
        <w:t xml:space="preserve"> </w:t>
      </w:r>
      <w:r>
        <w:t xml:space="preserve">“the</w:t>
      </w:r>
      <w:r>
        <w:t xml:space="preserve"> </w:t>
      </w:r>
      <w:r>
        <w:t xml:space="preserve">authorized plan was executed to completion with the results</w:t>
      </w:r>
      <w:r>
        <w:t xml:space="preserve"> </w:t>
      </w:r>
      <w:r>
        <w:t xml:space="preserve">recorded herein.”</w:t>
      </w:r>
    </w:p>
    <w:p>
      <w:pPr>
        <w:pStyle w:val="FirstParagraph"/>
      </w:pPr>
      <w:r>
        <w:t xml:space="preserve">The evidence packet is committed to Gitea at</w:t>
      </w:r>
      <w:r>
        <w:t xml:space="preserve"> </w:t>
      </w:r>
      <w:r>
        <w:rPr>
          <w:rStyle w:val="VerbatimChar"/>
        </w:rPr>
        <w:t xml:space="preserve">plans/&lt;plan-id&gt;/evidence.json</w:t>
      </w:r>
      <w:r>
        <w:t xml:space="preserve"> </w:t>
      </w:r>
      <w:r>
        <w:t xml:space="preserve">and mirrored to the SIEM feed. Federal</w:t>
      </w:r>
      <w:r>
        <w:t xml:space="preserve"> </w:t>
      </w:r>
      <w:r>
        <w:t xml:space="preserve">ATO packages consume it directly; FedRAMP ConMon consumes it on its</w:t>
      </w:r>
      <w:r>
        <w:t xml:space="preserve"> </w:t>
      </w:r>
      <w:r>
        <w:t xml:space="preserve">continuous-monitoring cadence.</w:t>
      </w:r>
    </w:p>
    <w:bookmarkEnd w:id="20"/>
    <w:bookmarkStart w:id="21" w:name="concrete-example-the-end-to-end-shape"/>
    <w:p>
      <w:pPr>
        <w:pStyle w:val="Heading2"/>
      </w:pPr>
      <w:r>
        <w:t xml:space="preserve">Concrete example — the end-to-end shape</w:t>
      </w:r>
    </w:p>
    <w:p>
      <w:pPr>
        <w:pStyle w:val="FirstParagraph"/>
      </w:pPr>
      <w:r>
        <w:t xml:space="preserve">To make it concrete: an assessment discovers a Finance OU with 312</w:t>
      </w:r>
      <w:r>
        <w:t xml:space="preserve"> </w:t>
      </w:r>
      <w:r>
        <w:t xml:space="preserve">users. The Analyze stage proposes an OrgPath scheme</w:t>
      </w:r>
      <w:r>
        <w:t xml:space="preserve"> </w:t>
      </w:r>
      <w:r>
        <w:t xml:space="preserve">(</w:t>
      </w:r>
      <w:r>
        <w:rPr>
          <w:rStyle w:val="VerbatimChar"/>
        </w:rPr>
        <w:t xml:space="preserve">ORG-FIN</w:t>
      </w:r>
      <w:r>
        <w:t xml:space="preserve">,</w:t>
      </w:r>
      <w:r>
        <w:t xml:space="preserve"> </w:t>
      </w:r>
      <w:r>
        <w:rPr>
          <w:rStyle w:val="VerbatimChar"/>
        </w:rPr>
        <w:t xml:space="preserve">ORG-FIN-AP</w:t>
      </w:r>
      <w:r>
        <w:t xml:space="preserve">,</w:t>
      </w:r>
      <w:r>
        <w:t xml:space="preserve"> </w:t>
      </w:r>
      <w:r>
        <w:rPr>
          <w:rStyle w:val="VerbatimChar"/>
        </w:rPr>
        <w:t xml:space="preserve">ORG-FIN-BUD</w:t>
      </w:r>
      <w:r>
        <w:t xml:space="preserve">), three dynamic groups</w:t>
      </w:r>
      <w:r>
        <w:t xml:space="preserve"> </w:t>
      </w:r>
      <w:r>
        <w:t xml:space="preserve">(</w:t>
      </w:r>
      <w:r>
        <w:rPr>
          <w:rStyle w:val="VerbatimChar"/>
        </w:rPr>
        <w:t xml:space="preserve">OrgTree-FIN-Users</w:t>
      </w:r>
      <w:r>
        <w:t xml:space="preserve">,</w:t>
      </w:r>
      <w:r>
        <w:t xml:space="preserve"> </w:t>
      </w:r>
      <w:r>
        <w:rPr>
          <w:rStyle w:val="VerbatimChar"/>
        </w:rPr>
        <w:t xml:space="preserve">OrgTree-FIN-AP-Users</w:t>
      </w:r>
      <w:r>
        <w:t xml:space="preserve">,</w:t>
      </w:r>
      <w:r>
        <w:t xml:space="preserve"> </w:t>
      </w:r>
      <w:r>
        <w:rPr>
          <w:rStyle w:val="VerbatimChar"/>
        </w:rPr>
        <w:t xml:space="preserve">OrgTree-FIN-BUD-Users</w:t>
      </w:r>
      <w:r>
        <w:t xml:space="preserve">),</w:t>
      </w:r>
      <w:r>
        <w:t xml:space="preserve"> </w:t>
      </w:r>
      <w:r>
        <w:t xml:space="preserve">one Tier-2 AU (</w:t>
      </w:r>
      <w:r>
        <w:rPr>
          <w:rStyle w:val="VerbatimChar"/>
        </w:rPr>
        <w:t xml:space="preserve">AU-ORG-FIN</w:t>
      </w:r>
      <w:r>
        <w:t xml:space="preserve">), and a role scoping (</w:t>
      </w:r>
      <w:r>
        <w:rPr>
          <w:rStyle w:val="VerbatimChar"/>
        </w:rPr>
        <w:t xml:space="preserve">User Administrator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OrgTree-FIN-Admins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AU-ORG-FIN</w:t>
      </w:r>
      <w:r>
        <w:t xml:space="preserve">).</w:t>
      </w:r>
    </w:p>
    <w:p>
      <w:pPr>
        <w:pStyle w:val="BodyText"/>
      </w:pPr>
      <w:r>
        <w:t xml:space="preserve">The Plan stage expands that into ~320 actions: 312 user attribute</w:t>
      </w:r>
      <w:r>
        <w:t xml:space="preserve"> </w:t>
      </w:r>
      <w:r>
        <w:t xml:space="preserve">sets, 3 dynamic-group creates, 1 AU create, 1 role assignment, plus</w:t>
      </w:r>
      <w:r>
        <w:t xml:space="preserve"> </w:t>
      </w:r>
      <w:r>
        <w:t xml:space="preserve">validation actions. The plan is ~40 KB of YAML.</w:t>
      </w:r>
    </w:p>
    <w:p>
      <w:pPr>
        <w:pStyle w:val="BodyText"/>
      </w:pPr>
      <w:r>
        <w:t xml:space="preserve">Canon validation runs in ~90 seconds. The Steward reviews the plan’s</w:t>
      </w:r>
      <w:r>
        <w:t xml:space="preserve"> </w:t>
      </w:r>
      <w:r>
        <w:t xml:space="preserve">summary in the Gitea PR (blast radius: 312 users affected,</w:t>
      </w:r>
      <w:r>
        <w:t xml:space="preserve"> </w:t>
      </w:r>
      <w:r>
        <w:t xml:space="preserve">boundary: GCC-Moderate, no out-of-scope calls, all actions</w:t>
      </w:r>
      <w:r>
        <w:t xml:space="preserve"> </w:t>
      </w:r>
      <w:r>
        <w:t xml:space="preserve">rollback-paired). The Steward approves; the plan merges to</w:t>
      </w:r>
      <w:r>
        <w:t xml:space="preserve"> </w:t>
      </w:r>
      <w:r>
        <w:rPr>
          <w:rStyle w:val="VerbatimChar"/>
        </w:rPr>
        <w:t xml:space="preserve">authorized/</w:t>
      </w:r>
      <w:r>
        <w:t xml:space="preserve">.</w:t>
      </w:r>
    </w:p>
    <w:p>
      <w:pPr>
        <w:pStyle w:val="BodyText"/>
      </w:pPr>
      <w:r>
        <w:t xml:space="preserve">The Execution Substrate picks up the authorized plan, dispatches the</w:t>
      </w:r>
      <w:r>
        <w:t xml:space="preserve"> </w:t>
      </w:r>
      <w:r>
        <w:t xml:space="preserve">actions in dependency order — AU first, dynamic groups second, user</w:t>
      </w:r>
      <w:r>
        <w:t xml:space="preserve"> </w:t>
      </w:r>
      <w:r>
        <w:t xml:space="preserve">attributes third, role assignment last. Total wall-clock: ~12 minutes.</w:t>
      </w:r>
      <w:r>
        <w:t xml:space="preserve"> </w:t>
      </w:r>
      <w:r>
        <w:t xml:space="preserve">Each action produces a result file; the final evidence packet is</w:t>
      </w:r>
      <w:r>
        <w:t xml:space="preserve"> </w:t>
      </w:r>
      <w:r>
        <w:t xml:space="preserve">~180 KB; the MOD_X telemetry emission is forwarded to SIEM.</w:t>
      </w:r>
    </w:p>
    <w:p>
      <w:pPr>
        <w:pStyle w:val="BodyText"/>
      </w:pPr>
      <w:r>
        <w:t xml:space="preserve">The next assessment run (say, 24 hours later) reads the new state,</w:t>
      </w:r>
      <w:r>
        <w:t xml:space="preserve"> </w:t>
      </w:r>
      <w:r>
        <w:t xml:space="preserve">produces a new analysis, and — since the world now matches the</w:t>
      </w:r>
      <w:r>
        <w:t xml:space="preserve"> </w:t>
      </w:r>
      <w:r>
        <w:t xml:space="preserve">target — produces a</w:t>
      </w:r>
      <w:r>
        <w:t xml:space="preserve"> </w:t>
      </w:r>
      <w:r>
        <w:rPr>
          <w:b/>
          <w:bCs/>
        </w:rPr>
        <w:t xml:space="preserve">zero-action plan</w:t>
      </w:r>
      <w:r>
        <w:t xml:space="preserve">. This is the</w:t>
      </w:r>
      <w:r>
        <w:t xml:space="preserve"> </w:t>
      </w:r>
      <w:r>
        <w:t xml:space="preserve">“steady state”</w:t>
      </w:r>
      <w:r>
        <w:t xml:space="preserve"> </w:t>
      </w:r>
      <w:r>
        <w:t xml:space="preserve">contract: when nothing has drifted, nothing needs to happen.</w:t>
      </w:r>
    </w:p>
    <w:bookmarkEnd w:id="21"/>
    <w:bookmarkStart w:id="22" w:name="what-governed-modernization-feels-like"/>
    <w:p>
      <w:pPr>
        <w:pStyle w:val="Heading2"/>
      </w:pPr>
      <w:r>
        <w:t xml:space="preserve">What governed modernization feels like</w:t>
      </w:r>
    </w:p>
    <w:p>
      <w:pPr>
        <w:pStyle w:val="FirstParagraph"/>
      </w:pPr>
      <w:r>
        <w:t xml:space="preserve">The contrast with the old way is stark. A twenty-five-year-old agency</w:t>
      </w:r>
      <w:r>
        <w:t xml:space="preserve"> </w:t>
      </w:r>
      <w:r>
        <w:t xml:space="preserve">forest has historically been modernized by:</w:t>
      </w:r>
    </w:p>
    <w:p>
      <w:pPr>
        <w:pStyle w:val="Compact"/>
        <w:numPr>
          <w:ilvl w:val="0"/>
          <w:numId w:val="1011"/>
        </w:numPr>
      </w:pPr>
      <w:r>
        <w:t xml:space="preserve">Running vendor tools manually, project by project.</w:t>
      </w:r>
    </w:p>
    <w:p>
      <w:pPr>
        <w:pStyle w:val="Compact"/>
        <w:numPr>
          <w:ilvl w:val="0"/>
          <w:numId w:val="1011"/>
        </w:numPr>
      </w:pPr>
      <w:r>
        <w:t xml:space="preserve">Writing change tickets after the change.</w:t>
      </w:r>
    </w:p>
    <w:p>
      <w:pPr>
        <w:pStyle w:val="Compact"/>
        <w:numPr>
          <w:ilvl w:val="0"/>
          <w:numId w:val="1011"/>
        </w:numPr>
      </w:pPr>
      <w:r>
        <w:t xml:space="preserve">Reconciling outcomes in spreadsheets.</w:t>
      </w:r>
    </w:p>
    <w:p>
      <w:pPr>
        <w:pStyle w:val="Compact"/>
        <w:numPr>
          <w:ilvl w:val="0"/>
          <w:numId w:val="1011"/>
        </w:numPr>
      </w:pPr>
      <w:r>
        <w:t xml:space="preserve">Discovering drift during audit.</w:t>
      </w:r>
    </w:p>
    <w:p>
      <w:pPr>
        <w:pStyle w:val="FirstParagraph"/>
      </w:pPr>
      <w:r>
        <w:t xml:space="preserve">UIAO modernizes by:</w:t>
      </w:r>
    </w:p>
    <w:p>
      <w:pPr>
        <w:pStyle w:val="Compact"/>
        <w:numPr>
          <w:ilvl w:val="0"/>
          <w:numId w:val="1012"/>
        </w:numPr>
      </w:pPr>
      <w:r>
        <w:t xml:space="preserve">Reading the forest once, structurally, into a versioned artifact.</w:t>
      </w:r>
    </w:p>
    <w:p>
      <w:pPr>
        <w:pStyle w:val="Compact"/>
        <w:numPr>
          <w:ilvl w:val="0"/>
          <w:numId w:val="1012"/>
        </w:numPr>
      </w:pPr>
      <w:r>
        <w:t xml:space="preserve">Proposing the full target state as a reviewable diff.</w:t>
      </w:r>
    </w:p>
    <w:p>
      <w:pPr>
        <w:pStyle w:val="Compact"/>
        <w:numPr>
          <w:ilvl w:val="0"/>
          <w:numId w:val="1012"/>
        </w:numPr>
      </w:pPr>
      <w:r>
        <w:t xml:space="preserve">Executing the diff under governance, with evidence per action.</w:t>
      </w:r>
    </w:p>
    <w:p>
      <w:pPr>
        <w:pStyle w:val="Compact"/>
        <w:numPr>
          <w:ilvl w:val="0"/>
          <w:numId w:val="1012"/>
        </w:numPr>
      </w:pPr>
      <w:r>
        <w:t xml:space="preserve">Detecting drift continuously, before the audit finds it.</w:t>
      </w:r>
    </w:p>
    <w:p>
      <w:pPr>
        <w:pStyle w:val="FirstParagraph"/>
      </w:pPr>
      <w:r>
        <w:t xml:space="preserve">Every stage produces a file in Gitea. Every file has a signature.</w:t>
      </w:r>
      <w:r>
        <w:t xml:space="preserve"> </w:t>
      </w:r>
      <w:r>
        <w:t xml:space="preserve">Every signature points to an operator. The question</w:t>
      </w:r>
      <w:r>
        <w:t xml:space="preserve"> </w:t>
      </w:r>
      <w:r>
        <w:rPr>
          <w:i/>
          <w:iCs/>
        </w:rPr>
        <w:t xml:space="preserve">“who changed</w:t>
      </w:r>
      <w:r>
        <w:rPr>
          <w:i/>
          <w:iCs/>
        </w:rPr>
        <w:t xml:space="preserve"> </w:t>
      </w:r>
      <w:r>
        <w:rPr>
          <w:i/>
          <w:iCs/>
        </w:rPr>
        <w:t xml:space="preserve">what, when, and why?”</w:t>
      </w:r>
      <w:r>
        <w:t xml:space="preserve"> </w:t>
      </w:r>
      <w:r>
        <w:t xml:space="preserve">has a literal answer in the commit history.</w:t>
      </w:r>
    </w:p>
    <w:bookmarkEnd w:id="22"/>
    <w:bookmarkStart w:id="24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Posted: UIAO-Core CLI Reference</w:t>
      </w:r>
      <w:r>
        <w:t xml:space="preserve"> </w:t>
      </w:r>
      <w:r>
        <w:t xml:space="preserve">— invocation surface for the</w:t>
      </w:r>
      <w:r>
        <w:t xml:space="preserve"> </w:t>
      </w:r>
      <w:r>
        <w:t xml:space="preserve">engine.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MOD_N Execution Substrate Integration Layer; MOD_K</w:t>
      </w:r>
      <w:r>
        <w:t xml:space="preserve"> </w:t>
      </w:r>
      <w:r>
        <w:t xml:space="preserve">Enforcement Decision Trees; MOD_S Governance OS State Machine;</w:t>
      </w:r>
      <w:r>
        <w:t xml:space="preserve"> </w:t>
      </w:r>
      <w:r>
        <w:t xml:space="preserve">MOD_J Governance Enforcement Test Suite.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ADR-002 Two-Brain Execution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 the architectural</w:t>
      </w:r>
      <w:r>
        <w:t xml:space="preserve"> </w:t>
      </w:r>
      <w:r>
        <w:t xml:space="preserve">principle behind the Plan/Deliver split.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23">
        <w:r>
          <w:rPr>
            <w:rStyle w:val="Hyperlink"/>
          </w:rPr>
          <w:t xml:space="preserve">Chapter 04 — Identity: x.500 Hierarchy → Flat Entra ID + OrgPath</w:t>
        </w:r>
      </w:hyperlink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23" Target="04-identity-transformation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04-identity-transformatio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03 — Analysis → Plan → Delivery</dc:title>
  <dc:creator/>
  <cp:keywords/>
  <dcterms:created xsi:type="dcterms:W3CDTF">2026-05-06T19:44:52Z</dcterms:created>
  <dcterms:modified xsi:type="dcterms:W3CDTF">2026-05-06T19:44:52Z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Platform engineers · automation leads · canon stewards</vt:lpwstr>
  </property>
  <property fmtid="{D5CDD505-2E9C-101B-9397-08002B2CF9AE}" pid="4" name="biblio-config">
    <vt:lpwstr>True</vt:lpwstr>
  </property>
  <property fmtid="{D5CDD505-2E9C-101B-9397-08002B2CF9AE}" pid="5" name="canon-source">
    <vt:lpwstr>MOD_N Execution Substrate Integration + MOD_K Decision Trees + Posted UIAO-Core CLI Reference</vt:lpwstr>
  </property>
  <property fmtid="{D5CDD505-2E9C-101B-9397-08002B2CF9AE}" pid="6" name="chapter">
    <vt:lpwstr>3</vt:lpwstr>
  </property>
  <property fmtid="{D5CDD505-2E9C-101B-9397-08002B2CF9AE}" pid="7" name="date">
    <vt:lpwstr>2026-04-24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client-server-to-hybrid-cloud</vt:lpwstr>
  </property>
  <property fmtid="{D5CDD505-2E9C-101B-9397-08002B2CF9AE}" pid="15" name="subtitle">
    <vt:lpwstr>The transformation engine — how UIAO turns an assessment into governed change on the target surface</vt:lpwstr>
  </property>
  <property fmtid="{D5CDD505-2E9C-101B-9397-08002B2CF9AE}" pid="16" name="toc-title">
    <vt:lpwstr>Table of contents</vt:lpwstr>
  </property>
</Properties>
</file>