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04 — Identity: x.500 Hierarchy → Flat Entra ID + OrgPath</w:t>
      </w:r>
    </w:p>
    <w:p>
      <w:pPr>
        <w:pStyle w:val="Subtitle"/>
      </w:pPr>
      <w:r>
        <w:t xml:space="preserve">How the OU tree becomes OrgPath, dynamic groups, Administrative Units, and Conditional Access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0" w:name="X10c7803cc928c198e8ea94d2a54bc36f9427d6b"/>
    <w:p>
      <w:pPr>
        <w:pStyle w:val="Heading1"/>
      </w:pPr>
      <w:r>
        <w:t xml:space="preserve">Chapter 04 — Identity: x.500 Hierarchy → Flat Entra ID + OrgPath</w:t>
      </w:r>
    </w:p>
    <w:p>
      <w:pPr>
        <w:pStyle w:val="FirstParagraph"/>
      </w:pPr>
      <w:r>
        <w:rPr>
          <w:i/>
          <w:iCs/>
        </w:rPr>
        <w:t xml:space="preserve">The OU-tree replacement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4.1 — A single OrgPath attribute drives five downstream governance outcomes</w:t>
            </w:r>
          </w:p>
        </w:tc>
      </w:tr>
    </w:tbl>
    <w:p>
      <w:pPr>
        <w:pStyle w:val="ImageCaption"/>
      </w:pPr>
      <w:r>
        <w:t xml:space="preserve">Figure 4.1 — A single OrgPath attribute drives five downstream governance outcomes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identity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AD OU tree was never just a folder structure. It encoded delegation,</w:t>
            </w:r>
            <w:r>
              <w:t xml:space="preserve"> </w:t>
            </w:r>
            <w:r>
              <w:t xml:space="preserve">policy inheritance, operational accountability, and security scope in a</w:t>
            </w:r>
            <w:r>
              <w:t xml:space="preserve"> </w:t>
            </w:r>
            <w:r>
              <w:t xml:space="preserve">single hierarchical graph. Entra ID is flat and has none of that.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OrgTree canon</w:t>
            </w:r>
            <w:r>
              <w:t xml:space="preserve"> </w:t>
            </w:r>
            <w:r>
              <w:t xml:space="preserve">reconstructs AD’s governance properties inside</w:t>
            </w:r>
            <w:r>
              <w:t xml:space="preserve"> </w:t>
            </w:r>
            <w:r>
              <w:t xml:space="preserve">Entra ID’s flat directory using four governed mechanisms —</w:t>
            </w:r>
            <w:r>
              <w:t xml:space="preserve"> </w:t>
            </w:r>
            <w:r>
              <w:rPr>
                <w:b/>
                <w:bCs/>
              </w:rPr>
              <w:t xml:space="preserve">OrgPath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dynamic groups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Administrative Units</w:t>
            </w:r>
            <w:r>
              <w:t xml:space="preserve">, and</w:t>
            </w:r>
            <w:r>
              <w:t xml:space="preserve"> </w:t>
            </w:r>
            <w:r>
              <w:rPr>
                <w:b/>
                <w:bCs/>
              </w:rPr>
              <w:t xml:space="preserve">Conditional Access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targeting</w:t>
            </w:r>
            <w:r>
              <w:t xml:space="preserve"> </w:t>
            </w:r>
            <w:r>
              <w:t xml:space="preserve">— stitched together into one deterministic model.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chapter is how it works.</w:t>
            </w:r>
          </w:p>
          <w:p/>
        </w:tc>
      </w:tr>
    </w:tbl>
    <w:bookmarkStart w:id="12" w:name="the-four-mechanisms"/>
    <w:p>
      <w:pPr>
        <w:pStyle w:val="Heading2"/>
      </w:pPr>
      <w:r>
        <w:t xml:space="preserve">The four mechanisms</w:t>
      </w:r>
    </w:p>
    <w:p>
      <w:pPr>
        <w:pStyle w:val="FirstParagraph"/>
      </w:pPr>
      <w:r>
        <w:t xml:space="preserve">Entra ID provides individually powerful tools. OrgTree is the framework</w:t>
      </w:r>
      <w:r>
        <w:t xml:space="preserve"> </w:t>
      </w:r>
      <w:r>
        <w:t xml:space="preserve">that uses them</w:t>
      </w:r>
      <w:r>
        <w:t xml:space="preserve"> </w:t>
      </w:r>
      <w:r>
        <w:rPr>
          <w:i/>
          <w:iCs/>
        </w:rPr>
        <w:t xml:space="preserve">together</w:t>
      </w:r>
      <w:r>
        <w:t xml:space="preserve"> </w:t>
      </w:r>
      <w:r>
        <w:t xml:space="preserve">to replace what the OU tree was doing.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Mechanism</w:t>
            </w:r>
          </w:p>
        </w:tc>
        <w:tc>
          <w:tcPr/>
          <w:p>
            <w:pPr>
              <w:pStyle w:val="Compact"/>
            </w:pPr>
            <w:r>
              <w:t xml:space="preserve">What it replaces</w:t>
            </w:r>
          </w:p>
        </w:tc>
        <w:tc>
          <w:tcPr/>
          <w:p>
            <w:pPr>
              <w:pStyle w:val="Compact"/>
            </w:pPr>
            <w:r>
              <w:t xml:space="preserve">Canon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OrgPath attribute</w:t>
            </w:r>
          </w:p>
        </w:tc>
        <w:tc>
          <w:tcPr/>
          <w:p>
            <w:pPr>
              <w:pStyle w:val="Compact"/>
            </w:pPr>
            <w:r>
              <w:t xml:space="preserve">OU placement</w:t>
            </w:r>
          </w:p>
        </w:tc>
        <w:tc>
          <w:tcPr/>
          <w:p>
            <w:pPr>
              <w:pStyle w:val="Compact"/>
            </w:pPr>
            <w:r>
              <w:t xml:space="preserve">MOD_A (codebook)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Dynamic groups</w:t>
            </w:r>
          </w:p>
        </w:tc>
        <w:tc>
          <w:tcPr/>
          <w:p>
            <w:pPr>
              <w:pStyle w:val="Compact"/>
            </w:pPr>
            <w:r>
              <w:t xml:space="preserve">OU-derived security groups</w:t>
            </w:r>
          </w:p>
        </w:tc>
        <w:tc>
          <w:tcPr/>
          <w:p>
            <w:pPr>
              <w:pStyle w:val="Compact"/>
            </w:pPr>
            <w:r>
              <w:t xml:space="preserve">MOD_B (library)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Administrative Units</w:t>
            </w:r>
          </w:p>
        </w:tc>
        <w:tc>
          <w:tcPr/>
          <w:p>
            <w:pPr>
              <w:pStyle w:val="Compact"/>
            </w:pPr>
            <w:r>
              <w:t xml:space="preserve">OU-level delegation</w:t>
            </w:r>
          </w:p>
        </w:tc>
        <w:tc>
          <w:tcPr/>
          <w:p>
            <w:pPr>
              <w:pStyle w:val="Compact"/>
            </w:pPr>
            <w:r>
              <w:t xml:space="preserve">MOD_D (matrix)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Conditional Access targeting</w:t>
            </w:r>
          </w:p>
        </w:tc>
        <w:tc>
          <w:tcPr/>
          <w:p>
            <w:pPr>
              <w:pStyle w:val="Compact"/>
            </w:pPr>
            <w:r>
              <w:t xml:space="preserve">GPO-based policy inheritance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(per policy library)</w:t>
            </w:r>
          </w:p>
        </w:tc>
      </w:tr>
    </w:tbl>
    <w:p>
      <w:pPr>
        <w:pStyle w:val="BodyText"/>
      </w:pPr>
      <w:r>
        <w:t xml:space="preserve">Each mechanism is individually documented in Microsoft’s reference; the</w:t>
      </w:r>
      <w:r>
        <w:t xml:space="preserve"> </w:t>
      </w:r>
      <w:r>
        <w:t xml:space="preserve">innovation is</w:t>
      </w:r>
      <w:r>
        <w:t xml:space="preserve"> </w:t>
      </w:r>
      <w:r>
        <w:rPr>
          <w:b/>
          <w:bCs/>
        </w:rPr>
        <w:t xml:space="preserve">the contract that binds them together</w:t>
      </w:r>
      <w:r>
        <w:t xml:space="preserve"> </w:t>
      </w:r>
      <w:r>
        <w:t xml:space="preserve">so that a single</w:t>
      </w:r>
      <w:r>
        <w:t xml:space="preserve"> </w:t>
      </w:r>
      <w:r>
        <w:t xml:space="preserve">act (setting a user’s OrgPath) produces consistent downstream effects</w:t>
      </w:r>
      <w:r>
        <w:t xml:space="preserve"> </w:t>
      </w:r>
      <w:r>
        <w:t xml:space="preserve">(group membership, AU scope, policy targeting, license assignment,</w:t>
      </w:r>
      <w:r>
        <w:t xml:space="preserve"> </w:t>
      </w:r>
      <w:r>
        <w:t xml:space="preserve">drift-detector visibility).</w:t>
      </w:r>
    </w:p>
    <w:bookmarkEnd w:id="12"/>
    <w:bookmarkStart w:id="17" w:name="orgpath-the-single-source-of-hierarchy"/>
    <w:p>
      <w:pPr>
        <w:pStyle w:val="Heading2"/>
      </w:pPr>
      <w:r>
        <w:t xml:space="preserve">OrgPath — the single source of hierarchy</w:t>
      </w:r>
    </w:p>
    <w:p>
      <w:pPr>
        <w:pStyle w:val="FirstParagraph"/>
      </w:pPr>
      <w:r>
        <w:t xml:space="preserve">OrgPath is a deterministic, attribute-encoded organizational hierarchy</w:t>
      </w:r>
      <w:r>
        <w:t xml:space="preserve"> </w:t>
      </w:r>
      <w:r>
        <w:t xml:space="preserve">stored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 </w:t>
      </w:r>
      <w:r>
        <w:t xml:space="preserve">on every governed user (and, where</w:t>
      </w:r>
      <w:r>
        <w:t xml:space="preserve"> </w:t>
      </w:r>
      <w:r>
        <w:t xml:space="preserve">applicable, device and group) object.</w:t>
      </w:r>
    </w:p>
    <w:bookmarkStart w:id="13" w:name="the-form"/>
    <w:p>
      <w:pPr>
        <w:pStyle w:val="Heading3"/>
      </w:pPr>
      <w:r>
        <w:t xml:space="preserve">The form</w:t>
      </w:r>
    </w:p>
    <w:p>
      <w:pPr>
        <w:pStyle w:val="SourceCode"/>
      </w:pPr>
      <w:r>
        <w:rPr>
          <w:rStyle w:val="VerbatimChar"/>
        </w:rPr>
        <w:t xml:space="preserve">ORG-&lt;DIV&gt;[-&lt;DEPT&gt;[-&lt;SUB&gt;[-&lt;LOC&gt;]]]</w:t>
      </w:r>
    </w:p>
    <w:p>
      <w:pPr>
        <w:pStyle w:val="FirstParagraph"/>
      </w:pPr>
      <w:r>
        <w:t xml:space="preserve">Every segment is an enumerated short code from MOD_A’s codebook. Depth</w:t>
      </w:r>
      <w:r>
        <w:t xml:space="preserve"> </w:t>
      </w:r>
      <w:r>
        <w:t xml:space="preserve">is capped at five segments. The regex that validates any OrgPath is:</w:t>
      </w:r>
    </w:p>
    <w:p>
      <w:pPr>
        <w:pStyle w:val="SourceCode"/>
      </w:pPr>
      <w:r>
        <w:rPr>
          <w:rStyle w:val="VerbatimChar"/>
        </w:rPr>
        <w:t xml:space="preserve">^ORG(-[A-Z]{2,6}){0,4}$</w:t>
      </w:r>
    </w:p>
    <w:bookmarkEnd w:id="13"/>
    <w:bookmarkStart w:id="14" w:name="examples"/>
    <w:p>
      <w:pPr>
        <w:pStyle w:val="Heading3"/>
      </w:pPr>
      <w:r>
        <w:t xml:space="preserve">Examples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ORG-FIN-AP-EAST</w:t>
      </w:r>
      <w:r>
        <w:t xml:space="preserve"> </w:t>
      </w:r>
      <w:r>
        <w:t xml:space="preserve">— Finance / Accounts Payable / East region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ORG-IT-INF-PLATFORM</w:t>
      </w:r>
      <w:r>
        <w:t xml:space="preserve"> </w:t>
      </w:r>
      <w:r>
        <w:t xml:space="preserve">— IT / Infrastructure / Platform team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ORG-HR-BEN</w:t>
      </w:r>
      <w:r>
        <w:t xml:space="preserve"> </w:t>
      </w:r>
      <w:r>
        <w:t xml:space="preserve">— HR / Benefits (two-segment, department-level)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ORG-EXEC</w:t>
      </w:r>
      <w:r>
        <w:t xml:space="preserve"> </w:t>
      </w:r>
      <w:r>
        <w:t xml:space="preserve">— Executive (single-segment, division-level)</w:t>
      </w:r>
    </w:p>
    <w:bookmarkEnd w:id="14"/>
    <w:bookmarkStart w:id="15" w:name="what-orgpath-drives"/>
    <w:p>
      <w:pPr>
        <w:pStyle w:val="Heading3"/>
      </w:pPr>
      <w:r>
        <w:t xml:space="preserve">What OrgPath drives</w:t>
      </w:r>
    </w:p>
    <w:p>
      <w:pPr>
        <w:pStyle w:val="FirstParagraph"/>
      </w:pPr>
      <w:r>
        <w:t xml:space="preserve">A single attribute drives five downstream outcomes: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Dynamic group membership</w:t>
      </w:r>
      <w:r>
        <w:t xml:space="preserve"> </w:t>
      </w:r>
      <w:r>
        <w:t xml:space="preserve">— every user with</w:t>
      </w:r>
      <w:r>
        <w:t xml:space="preserve"> </w:t>
      </w:r>
      <w:r>
        <w:rPr>
          <w:rStyle w:val="VerbatimChar"/>
        </w:rPr>
        <w:t xml:space="preserve">extensionAttribute1 -startsWith "ORG-FIN"</w:t>
      </w:r>
      <w:r>
        <w:t xml:space="preserve"> </w:t>
      </w:r>
      <w:r>
        <w:t xml:space="preserve">is in</w:t>
      </w:r>
      <w:r>
        <w:t xml:space="preserve"> </w:t>
      </w:r>
      <w:r>
        <w:rPr>
          <w:rStyle w:val="VerbatimChar"/>
        </w:rPr>
        <w:t xml:space="preserve">OrgTree-FIN-Users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Administrative Unit scoping</w:t>
      </w:r>
      <w:r>
        <w:t xml:space="preserve"> </w:t>
      </w:r>
      <w:r>
        <w:t xml:space="preserve">— the AU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 </w:t>
      </w:r>
      <w:r>
        <w:t xml:space="preserve">has the same</w:t>
      </w:r>
      <w:r>
        <w:t xml:space="preserve"> </w:t>
      </w:r>
      <w:r>
        <w:t xml:space="preserve">membership rule; delegated admins of that AU manage only those users.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Conditional Access targeting</w:t>
      </w:r>
      <w:r>
        <w:t xml:space="preserve"> </w:t>
      </w:r>
      <w:r>
        <w:t xml:space="preserve">— CA policies include or exclude</w:t>
      </w:r>
      <w:r>
        <w:t xml:space="preserve"> </w:t>
      </w:r>
      <w:r>
        <w:t xml:space="preserve">groups keyed to OrgPath segments.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License assignment</w:t>
      </w:r>
      <w:r>
        <w:t xml:space="preserve"> </w:t>
      </w:r>
      <w:r>
        <w:t xml:space="preserve">— group-based licensing flows from</w:t>
      </w:r>
      <w:r>
        <w:t xml:space="preserve"> </w:t>
      </w:r>
      <w:r>
        <w:t xml:space="preserve">OrgPath-scoped dynamic groups.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Drift detection</w:t>
      </w:r>
      <w:r>
        <w:t xml:space="preserve"> </w:t>
      </w:r>
      <w:r>
        <w:t xml:space="preserve">— MOD_M validates that every user’s OrgPath</w:t>
      </w:r>
      <w:r>
        <w:t xml:space="preserve"> </w:t>
      </w:r>
      <w:r>
        <w:t xml:space="preserve">exists in the codebook and matches the HR-system source of truth.</w:t>
      </w:r>
    </w:p>
    <w:p>
      <w:pPr>
        <w:pStyle w:val="FirstParagraph"/>
      </w:pPr>
      <w:r>
        <w:t xml:space="preserve">One attribute. Five governance outcomes. Zero admin-portal clicks to</w:t>
      </w:r>
      <w:r>
        <w:t xml:space="preserve"> </w:t>
      </w:r>
      <w:r>
        <w:t xml:space="preserve">assign any of them.</w:t>
      </w:r>
    </w:p>
    <w:bookmarkEnd w:id="15"/>
    <w:bookmarkStart w:id="16" w:name="the-codebook-mod_a"/>
    <w:p>
      <w:pPr>
        <w:pStyle w:val="Heading3"/>
      </w:pPr>
      <w:r>
        <w:t xml:space="preserve">The codebook (MOD_A)</w:t>
      </w:r>
    </w:p>
    <w:p>
      <w:pPr>
        <w:pStyle w:val="FirstParagraph"/>
      </w:pPr>
      <w:r>
        <w:t xml:space="preserve">MOD_A is a YAML file in Gitea that enumerates every valid OrgPath code.</w:t>
      </w:r>
      <w:r>
        <w:t xml:space="preserve"> </w:t>
      </w:r>
      <w:r>
        <w:t xml:space="preserve">Every code has a description, a parent path, allowed children patterns,</w:t>
      </w:r>
      <w:r>
        <w:t xml:space="preserve"> </w:t>
      </w:r>
      <w:r>
        <w:t xml:space="preserve">and a max depth. An OrgPath that is not in the codebook is invalid by</w:t>
      </w:r>
      <w:r>
        <w:t xml:space="preserve"> </w:t>
      </w:r>
      <w:r>
        <w:t xml:space="preserve">definition; the JSON schema (MOD_H) rejects it at validation time.</w:t>
      </w:r>
    </w:p>
    <w:p>
      <w:pPr>
        <w:pStyle w:val="BodyText"/>
      </w:pPr>
      <w:r>
        <w:t xml:space="preserve">The codebook is not freely edited. Changes go through the Canon Change</w:t>
      </w:r>
      <w:r>
        <w:t xml:space="preserve"> </w:t>
      </w:r>
      <w:r>
        <w:t xml:space="preserve">Protocol (MOD_V) — PR → review → merge. This preserves OrgPath stability</w:t>
      </w:r>
      <w:r>
        <w:t xml:space="preserve"> </w:t>
      </w:r>
      <w:r>
        <w:t xml:space="preserve">across time; an OrgPath issued to a user in 2026 means the same thing in</w:t>
      </w:r>
      <w:r>
        <w:t xml:space="preserve"> </w:t>
      </w:r>
      <w:r>
        <w:t xml:space="preserve">2030.</w:t>
      </w:r>
    </w:p>
    <w:bookmarkEnd w:id="16"/>
    <w:bookmarkEnd w:id="17"/>
    <w:bookmarkStart w:id="20" w:name="X26c0606c2e4ac73fe79850b120f9c68e2c2e5cc"/>
    <w:p>
      <w:pPr>
        <w:pStyle w:val="Heading2"/>
      </w:pPr>
      <w:r>
        <w:t xml:space="preserve">Dynamic groups — materializing every subtree</w:t>
      </w:r>
    </w:p>
    <w:p>
      <w:pPr>
        <w:pStyle w:val="FirstParagraph"/>
      </w:pPr>
      <w:r>
        <w:t xml:space="preserve">AD computed</w:t>
      </w:r>
      <w:r>
        <w:t xml:space="preserve"> </w:t>
      </w:r>
      <w:r>
        <w:t xml:space="preserve">“who is in the Finance branch?”</w:t>
      </w:r>
      <w:r>
        <w:t xml:space="preserve"> </w:t>
      </w:r>
      <w:r>
        <w:t xml:space="preserve">by walking the OU tree.</w:t>
      </w:r>
      <w:r>
        <w:t xml:space="preserve"> </w:t>
      </w:r>
      <w:r>
        <w:t xml:space="preserve">Entra ID computes it by evaluating a dynamic-group rule against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bookmarkStart w:id="18" w:name="the-three-query-patterns-mod_b"/>
    <w:p>
      <w:pPr>
        <w:pStyle w:val="Heading3"/>
      </w:pPr>
      <w:r>
        <w:t xml:space="preserve">The three query patterns (MOD_B)</w:t>
      </w:r>
    </w:p>
    <w:p>
      <w:pPr>
        <w:pStyle w:val="FirstParagraph"/>
      </w:pPr>
      <w:r>
        <w:t xml:space="preserve">Every OrgPath-governed dynamic group uses one of three patterns.</w:t>
      </w:r>
    </w:p>
    <w:p>
      <w:pPr>
        <w:pStyle w:val="BodyText"/>
      </w:pPr>
      <w:r>
        <w:rPr>
          <w:b/>
          <w:bCs/>
        </w:rPr>
        <w:t xml:space="preserve">Pattern 1 — Branch Query (subtree).</w:t>
      </w:r>
      <w:r>
        <w:t xml:space="preserve"> </w:t>
      </w:r>
      <w:r>
        <w:t xml:space="preserve">Captures all users at and below</w:t>
      </w:r>
      <w:r>
        <w:t xml:space="preserve"> </w:t>
      </w:r>
      <w:r>
        <w:t xml:space="preserve">a hierarchy level. Use</w:t>
      </w:r>
      <w:r>
        <w:t xml:space="preserve"> </w:t>
      </w:r>
      <w:r>
        <w:rPr>
          <w:rStyle w:val="VerbatimChar"/>
        </w:rPr>
        <w:t xml:space="preserve">-startsWith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(user.extensionAttribute1 -startsWith "ORG-FIN")</w:t>
      </w:r>
    </w:p>
    <w:p>
      <w:pPr>
        <w:pStyle w:val="FirstParagraph"/>
      </w:pPr>
      <w:r>
        <w:t xml:space="preserve">Produces: every Finance user, including AP, Budget, Tax, and every</w:t>
      </w:r>
      <w:r>
        <w:t xml:space="preserve"> </w:t>
      </w:r>
      <w:r>
        <w:t xml:space="preserve">sub-subgroup.</w:t>
      </w:r>
    </w:p>
    <w:p>
      <w:pPr>
        <w:pStyle w:val="BodyText"/>
      </w:pPr>
      <w:r>
        <w:rPr>
          <w:b/>
          <w:bCs/>
        </w:rPr>
        <w:t xml:space="preserve">Pattern 2 — Node Query (exact).</w:t>
      </w:r>
      <w:r>
        <w:t xml:space="preserve"> </w:t>
      </w:r>
      <w:r>
        <w:t xml:space="preserve">Captures only users at a specific</w:t>
      </w:r>
      <w:r>
        <w:t xml:space="preserve"> </w:t>
      </w:r>
      <w:r>
        <w:t xml:space="preserve">level. Use</w:t>
      </w:r>
      <w:r>
        <w:t xml:space="preserve"> </w:t>
      </w:r>
      <w:r>
        <w:rPr>
          <w:rStyle w:val="VerbatimChar"/>
        </w:rPr>
        <w:t xml:space="preserve">-eq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(user.extensionAttribute1 -eq "ORG-FIN-AP")</w:t>
      </w:r>
    </w:p>
    <w:p>
      <w:pPr>
        <w:pStyle w:val="FirstParagraph"/>
      </w:pPr>
      <w:r>
        <w:t xml:space="preserve">Produces: users whose OrgPath is</w:t>
      </w:r>
      <w:r>
        <w:t xml:space="preserve"> </w:t>
      </w:r>
      <w:r>
        <w:rPr>
          <w:i/>
          <w:iCs/>
        </w:rPr>
        <w:t xml:space="preserve">exactly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 </w:t>
      </w:r>
      <w:r>
        <w:t xml:space="preserve">— not their</w:t>
      </w:r>
      <w:r>
        <w:t xml:space="preserve"> </w:t>
      </w:r>
      <w:r>
        <w:t xml:space="preserve">children.</w:t>
      </w:r>
    </w:p>
    <w:p>
      <w:pPr>
        <w:pStyle w:val="BodyText"/>
      </w:pPr>
      <w:r>
        <w:rPr>
          <w:b/>
          <w:bCs/>
        </w:rPr>
        <w:t xml:space="preserve">Pattern 3 — Functional Query (role or attribute).</w:t>
      </w:r>
      <w:r>
        <w:t xml:space="preserve"> </w:t>
      </w:r>
      <w:r>
        <w:t xml:space="preserve">Combines</w:t>
      </w:r>
      <w:r>
        <w:t xml:space="preserve"> </w:t>
      </w:r>
      <w:r>
        <w:t xml:space="preserve">OrgPath with a role-bearing attribute (job title, cost center,</w:t>
      </w:r>
      <w:r>
        <w:t xml:space="preserve"> </w:t>
      </w:r>
      <w:r>
        <w:t xml:space="preserve">department), for cross-cutting concerns.</w:t>
      </w:r>
    </w:p>
    <w:p>
      <w:pPr>
        <w:pStyle w:val="SourceCode"/>
      </w:pPr>
      <w:r>
        <w:rPr>
          <w:rStyle w:val="VerbatimChar"/>
        </w:rPr>
        <w:t xml:space="preserve">(user.extensionAttribute1 -startsWith "ORG-IT") and (user.jobTitle -contains "Security")</w:t>
      </w:r>
    </w:p>
    <w:p>
      <w:pPr>
        <w:pStyle w:val="FirstParagraph"/>
      </w:pPr>
      <w:r>
        <w:t xml:space="preserve">Produces: every IT-organization user whose title includes</w:t>
      </w:r>
      <w:r>
        <w:t xml:space="preserve"> </w:t>
      </w:r>
      <w:r>
        <w:t xml:space="preserve">“Security.”</w:t>
      </w:r>
    </w:p>
    <w:bookmarkEnd w:id="18"/>
    <w:bookmarkStart w:id="19" w:name="naming-convention"/>
    <w:p>
      <w:pPr>
        <w:pStyle w:val="Heading3"/>
      </w:pPr>
      <w:r>
        <w:t xml:space="preserve">Naming convention</w:t>
      </w:r>
    </w:p>
    <w:p>
      <w:pPr>
        <w:pStyle w:val="FirstParagraph"/>
      </w:pPr>
      <w:r>
        <w:t xml:space="preserve">Every OrgTree-governed dynamic group follows</w:t>
      </w:r>
      <w:r>
        <w:t xml:space="preserve"> </w:t>
      </w:r>
      <w:r>
        <w:rPr>
          <w:rStyle w:val="VerbatimChar"/>
        </w:rPr>
        <w:t xml:space="preserve">OrgTree-[SCOPE]-[PURPOSE]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OrgTree-FIN-Users</w:t>
      </w:r>
      <w:r>
        <w:t xml:space="preserve"> </w:t>
      </w:r>
      <w:r>
        <w:t xml:space="preserve">— branch query, Finance subtree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OrgTree-IT-SEC-SOC-Users</w:t>
      </w:r>
      <w:r>
        <w:t xml:space="preserve"> </w:t>
      </w:r>
      <w:r>
        <w:t xml:space="preserve">— SOC analysts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OrgTree-HR-Licensed</w:t>
      </w:r>
      <w:r>
        <w:t xml:space="preserve"> </w:t>
      </w:r>
      <w:r>
        <w:t xml:space="preserve">— HR users targeted for specific SKUs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OrgTree-EXEC-CA</w:t>
      </w:r>
      <w:r>
        <w:t xml:space="preserve"> </w:t>
      </w:r>
      <w:r>
        <w:t xml:space="preserve">— Executive users targeted by specific CA policies</w:t>
      </w:r>
    </w:p>
    <w:p>
      <w:pPr>
        <w:pStyle w:val="FirstParagraph"/>
      </w:pPr>
      <w:r>
        <w:t xml:space="preserve">Groups that don’t match the pattern are</w:t>
      </w:r>
      <w:r>
        <w:t xml:space="preserve"> </w:t>
      </w:r>
      <w:r>
        <w:rPr>
          <w:b/>
          <w:bCs/>
        </w:rPr>
        <w:t xml:space="preserve">Phantom Drift</w:t>
      </w:r>
      <w:r>
        <w:t xml:space="preserve"> </w:t>
      </w:r>
      <w:r>
        <w:t xml:space="preserve">per MOD_M.</w:t>
      </w:r>
      <w:r>
        <w:t xml:space="preserve"> </w:t>
      </w:r>
      <w:r>
        <w:t xml:space="preserve">The drift engine finds them; MOD_Q escalates the cleanup.</w:t>
      </w:r>
    </w:p>
    <w:bookmarkEnd w:id="19"/>
    <w:bookmarkEnd w:id="20"/>
    <w:bookmarkStart w:id="24" w:name="X40df17e3a1bdf304b6d36db9da0d3ed54670039"/>
    <w:p>
      <w:pPr>
        <w:pStyle w:val="Heading2"/>
      </w:pPr>
      <w:r>
        <w:t xml:space="preserve">Administrative Units — the delegation replacement</w:t>
      </w:r>
    </w:p>
    <w:p>
      <w:pPr>
        <w:pStyle w:val="FirstParagraph"/>
      </w:pPr>
      <w:r>
        <w:t xml:space="preserve">AD delegated OU-level administrative rights via ACLs on the OU object.</w:t>
      </w:r>
      <w:r>
        <w:t xml:space="preserve"> </w:t>
      </w:r>
      <w:r>
        <w:t xml:space="preserve">Entra ID delegates via Administrative Units — named scopes that contain</w:t>
      </w:r>
      <w:r>
        <w:t xml:space="preserve"> </w:t>
      </w:r>
      <w:r>
        <w:t xml:space="preserve">users, and against which roles can be assigned.</w:t>
      </w:r>
    </w:p>
    <w:bookmarkStart w:id="21" w:name="the-three-tier-model-mod_d"/>
    <w:p>
      <w:pPr>
        <w:pStyle w:val="Heading3"/>
      </w:pPr>
      <w:r>
        <w:t xml:space="preserve">The three-tier model (MOD_D)</w:t>
      </w:r>
    </w:p>
    <w:p>
      <w:pPr>
        <w:pStyle w:val="FirstParagraph"/>
      </w:pPr>
      <w:r>
        <w:t xml:space="preserve">MOD_D enumerates every AU in a three-tier structure mirroring OrgPath</w:t>
      </w:r>
      <w:r>
        <w:t xml:space="preserve"> </w:t>
      </w:r>
      <w:r>
        <w:t xml:space="preserve">depth: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AU Pattern</w:t>
            </w:r>
          </w:p>
        </w:tc>
        <w:tc>
          <w:tcPr/>
          <w:p>
            <w:pPr>
              <w:pStyle w:val="Compact"/>
            </w:pPr>
            <w:r>
              <w:t xml:space="preserve">Typical Roles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Tier 1 — Enterprise</w:t>
            </w:r>
          </w:p>
        </w:tc>
        <w:tc>
          <w:tcPr/>
          <w:p>
            <w:pPr>
              <w:pStyle w:val="Compact"/>
            </w:pPr>
            <w:r>
              <w:t xml:space="preserve">All governed users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AU-ORG-Enterprise</w:t>
            </w:r>
          </w:p>
        </w:tc>
        <w:tc>
          <w:tcPr/>
          <w:p>
            <w:pPr>
              <w:pStyle w:val="Compact"/>
            </w:pPr>
            <w:r>
              <w:t xml:space="preserve">Global Reader, Security Reader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Tier 2 — Division</w:t>
            </w:r>
          </w:p>
        </w:tc>
        <w:tc>
          <w:tcPr/>
          <w:p>
            <w:pPr>
              <w:pStyle w:val="Compact"/>
            </w:pPr>
            <w:r>
              <w:t xml:space="preserve">All users in one division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AU-ORG-[DIV]</w:t>
            </w:r>
          </w:p>
        </w:tc>
        <w:tc>
          <w:tcPr/>
          <w:p>
            <w:pPr>
              <w:pStyle w:val="Compact"/>
            </w:pPr>
            <w:r>
              <w:t xml:space="preserve">User Administrator, Groups Administrator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Tier 3 — Department</w:t>
            </w:r>
          </w:p>
        </w:tc>
        <w:tc>
          <w:tcPr/>
          <w:p>
            <w:pPr>
              <w:pStyle w:val="Compact"/>
            </w:pPr>
            <w:r>
              <w:t xml:space="preserve">Users in one department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AU-ORG-[DIV]-[DEPT]</w:t>
            </w:r>
          </w:p>
        </w:tc>
        <w:tc>
          <w:tcPr/>
          <w:p>
            <w:pPr>
              <w:pStyle w:val="Compact"/>
            </w:pPr>
            <w:r>
              <w:t xml:space="preserve">Helpdesk Administrator, Password Administrator</w:t>
            </w:r>
          </w:p>
        </w:tc>
      </w:tr>
    </w:tbl>
    <w:p>
      <w:pPr>
        <w:pStyle w:val="BodyText"/>
      </w:pPr>
      <w:r>
        <w:t xml:space="preserve">The membership rule of each AU is an exact mirror of the corresponding</w:t>
      </w:r>
      <w:r>
        <w:t xml:space="preserve"> </w:t>
      </w:r>
      <w:r>
        <w:t xml:space="preserve">OrgPath dynamic-group rule.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 </w:t>
      </w:r>
      <w:r>
        <w:t xml:space="preserve">contains exactly the same users</w:t>
      </w:r>
      <w:r>
        <w:t xml:space="preserve"> </w:t>
      </w:r>
      <w:r>
        <w:t xml:space="preserve">as</w:t>
      </w:r>
      <w:r>
        <w:t xml:space="preserve"> </w:t>
      </w:r>
      <w:r>
        <w:rPr>
          <w:rStyle w:val="VerbatimChar"/>
        </w:rPr>
        <w:t xml:space="preserve">OrgTree-FIN-Users</w:t>
      </w:r>
      <w:r>
        <w:t xml:space="preserve">.</w:t>
      </w:r>
    </w:p>
    <w:bookmarkEnd w:id="21"/>
    <w:bookmarkStart w:id="22" w:name="restricted-management"/>
    <w:p>
      <w:pPr>
        <w:pStyle w:val="Heading3"/>
      </w:pPr>
      <w:r>
        <w:t xml:space="preserve">Restricted management</w:t>
      </w:r>
    </w:p>
    <w:p>
      <w:pPr>
        <w:pStyle w:val="FirstParagraph"/>
      </w:pPr>
      <w:r>
        <w:t xml:space="preserve">Every OrgTree AU is created with</w:t>
      </w:r>
      <w:r>
        <w:t xml:space="preserve"> </w:t>
      </w:r>
      <w:r>
        <w:rPr>
          <w:rStyle w:val="VerbatimChar"/>
        </w:rPr>
        <w:t xml:space="preserve">isMemberManagementRestricted: true</w:t>
      </w:r>
      <w:r>
        <w:t xml:space="preserve">.</w:t>
      </w:r>
      <w:r>
        <w:t xml:space="preserve"> </w:t>
      </w:r>
      <w:r>
        <w:t xml:space="preserve">That means the only way to manage members is via the governed workflow —</w:t>
      </w:r>
      <w:r>
        <w:t xml:space="preserve"> </w:t>
      </w:r>
      <w:r>
        <w:t xml:space="preserve">by changing a user’s OrgPath. A Global Admin cannot hand-add a user to</w:t>
      </w:r>
      <w:r>
        <w:t xml:space="preserve"> </w:t>
      </w:r>
      <w:r>
        <w:t xml:space="preserve">an AU to bypass delegation. This is AD’s</w:t>
      </w:r>
      <w:r>
        <w:t xml:space="preserve"> </w:t>
      </w:r>
      <w:r>
        <w:t xml:space="preserve">“OU ACL”</w:t>
      </w:r>
      <w:r>
        <w:t xml:space="preserve"> </w:t>
      </w:r>
      <w:r>
        <w:t xml:space="preserve">property, preserved.</w:t>
      </w:r>
    </w:p>
    <w:bookmarkEnd w:id="22"/>
    <w:bookmarkStart w:id="23" w:name="role-assignments"/>
    <w:p>
      <w:pPr>
        <w:pStyle w:val="Heading3"/>
      </w:pPr>
      <w:r>
        <w:t xml:space="preserve">Role assignments</w:t>
      </w:r>
    </w:p>
    <w:p>
      <w:pPr>
        <w:pStyle w:val="FirstParagraph"/>
      </w:pPr>
      <w:r>
        <w:t xml:space="preserve">Roles are scoped to AUs, never granted tenant-wide except for break-glass</w:t>
      </w:r>
      <w:r>
        <w:t xml:space="preserve"> </w:t>
      </w:r>
      <w:r>
        <w:t xml:space="preserve">accounts. The assignment pattern:</w:t>
      </w:r>
    </w:p>
    <w:p>
      <w:pPr>
        <w:pStyle w:val="SourceCode"/>
      </w:pPr>
      <w:r>
        <w:rPr>
          <w:rStyle w:val="VerbatimChar"/>
        </w:rPr>
        <w:t xml:space="preserve">role:        User Administrator</w:t>
      </w:r>
      <w:r>
        <w:br/>
      </w:r>
      <w:r>
        <w:rPr>
          <w:rStyle w:val="VerbatimChar"/>
        </w:rPr>
        <w:t xml:space="preserve">principal:   OrgTree-FIN-Admins            ← a dynamic group</w:t>
      </w:r>
      <w:r>
        <w:br/>
      </w:r>
      <w:r>
        <w:rPr>
          <w:rStyle w:val="VerbatimChar"/>
        </w:rPr>
        <w:t xml:space="preserve">scope:       /administrativeUnits/AU-ORG-FIN</w:t>
      </w:r>
    </w:p>
    <w:p>
      <w:pPr>
        <w:pStyle w:val="FirstParagraph"/>
      </w:pPr>
      <w:r>
        <w:t xml:space="preserve">A member of</w:t>
      </w:r>
      <w:r>
        <w:t xml:space="preserve"> </w:t>
      </w:r>
      <w:r>
        <w:rPr>
          <w:rStyle w:val="VerbatimChar"/>
        </w:rPr>
        <w:t xml:space="preserve">OrgTree-FIN-Admins</w:t>
      </w:r>
      <w:r>
        <w:t xml:space="preserve"> </w:t>
      </w:r>
      <w:r>
        <w:t xml:space="preserve">can reset passwords, create groups,</w:t>
      </w:r>
      <w:r>
        <w:t xml:space="preserve"> </w:t>
      </w:r>
      <w:r>
        <w:t xml:space="preserve">and manage users — but only for users in</w:t>
      </w:r>
      <w:r>
        <w:t xml:space="preserve"> </w:t>
      </w:r>
      <w:r>
        <w:rPr>
          <w:rStyle w:val="VerbatimChar"/>
        </w:rPr>
        <w:t xml:space="preserve">AU-ORG-FIN</w:t>
      </w:r>
      <w:r>
        <w:t xml:space="preserve">. Outside that</w:t>
      </w:r>
      <w:r>
        <w:t xml:space="preserve"> </w:t>
      </w:r>
      <w:r>
        <w:t xml:space="preserve">scope, the role has no effect.</w:t>
      </w:r>
    </w:p>
    <w:p>
      <w:pPr>
        <w:pStyle w:val="BodyText"/>
      </w:pPr>
      <w:r>
        <w:t xml:space="preserve">The full role matrix (MOD_D §Role Assignment Matrix) is stored in</w:t>
      </w:r>
      <w:r>
        <w:t xml:space="preserve"> </w:t>
      </w:r>
      <w:r>
        <w:t xml:space="preserve">Gitea. Changes require a PR; Copilot validates that new assignments</w:t>
      </w:r>
      <w:r>
        <w:t xml:space="preserve"> </w:t>
      </w:r>
      <w:r>
        <w:t xml:space="preserve">respect least-privilege and tier-boundary rules.</w:t>
      </w:r>
    </w:p>
    <w:bookmarkEnd w:id="23"/>
    <w:bookmarkEnd w:id="24"/>
    <w:bookmarkStart w:id="25" w:name="X7db92b776f82499e2b48db9850567f6addf2750"/>
    <w:p>
      <w:pPr>
        <w:pStyle w:val="Heading2"/>
      </w:pPr>
      <w:r>
        <w:t xml:space="preserve">Conditional Access — policy inheritance replacement</w:t>
      </w:r>
    </w:p>
    <w:p>
      <w:pPr>
        <w:pStyle w:val="FirstParagraph"/>
      </w:pPr>
      <w:r>
        <w:t xml:space="preserve">GPOs inherited down the OU tree. Conditional Access policies target</w:t>
      </w:r>
      <w:r>
        <w:t xml:space="preserve"> </w:t>
      </w:r>
      <w:r>
        <w:t xml:space="preserve">groups. The bridge: OrgPath-scoped dynamic groups that match the</w:t>
      </w:r>
      <w:r>
        <w:t xml:space="preserve"> </w:t>
      </w:r>
      <w:r>
        <w:t xml:space="preserve">OU-inheritance pattern.</w:t>
      </w:r>
    </w:p>
    <w:p>
      <w:pPr>
        <w:pStyle w:val="BodyText"/>
      </w:pPr>
      <w:r>
        <w:t xml:space="preserve">Example: a GPO that applied at</w:t>
      </w:r>
      <w:r>
        <w:t xml:space="preserve"> </w:t>
      </w:r>
      <w:r>
        <w:rPr>
          <w:rStyle w:val="VerbatimChar"/>
        </w:rPr>
        <w:t xml:space="preserve">OU=East,DC=contoso</w:t>
      </w:r>
      <w:r>
        <w:t xml:space="preserve"> </w:t>
      </w:r>
      <w:r>
        <w:t xml:space="preserve">configured</w:t>
      </w:r>
      <w:r>
        <w:t xml:space="preserve"> </w:t>
      </w:r>
      <w:r>
        <w:t xml:space="preserve">lockout policies for all East-region users. The CA equivalent is a CA</w:t>
      </w:r>
      <w:r>
        <w:t xml:space="preserve"> </w:t>
      </w:r>
      <w:r>
        <w:t xml:space="preserve">policy targeting</w:t>
      </w:r>
      <w:r>
        <w:t xml:space="preserve"> </w:t>
      </w:r>
      <w:r>
        <w:rPr>
          <w:rStyle w:val="VerbatimChar"/>
        </w:rPr>
        <w:t xml:space="preserve">OrgTree-EAST-Users</w:t>
      </w:r>
      <w:r>
        <w:t xml:space="preserve"> </w:t>
      </w:r>
      <w:r>
        <w:t xml:space="preserve">(branch query on</w:t>
      </w:r>
      <w:r>
        <w:t xml:space="preserve"> </w:t>
      </w:r>
      <w:r>
        <w:rPr>
          <w:rStyle w:val="VerbatimChar"/>
        </w:rPr>
        <w:t xml:space="preserve">ORG-EAST</w:t>
      </w:r>
      <w:r>
        <w:t xml:space="preserve">).</w:t>
      </w:r>
      <w:r>
        <w:t xml:space="preserve"> </w:t>
      </w:r>
      <w:r>
        <w:t xml:space="preserve">Users whose OrgPath starts with</w:t>
      </w:r>
      <w:r>
        <w:t xml:space="preserve"> </w:t>
      </w:r>
      <w:r>
        <w:rPr>
          <w:rStyle w:val="VerbatimChar"/>
        </w:rPr>
        <w:t xml:space="preserve">ORG-EAST</w:t>
      </w:r>
      <w:r>
        <w:t xml:space="preserve"> </w:t>
      </w:r>
      <w:r>
        <w:t xml:space="preserve">get the policy; everyone</w:t>
      </w:r>
      <w:r>
        <w:t xml:space="preserve"> </w:t>
      </w:r>
      <w:r>
        <w:t xml:space="preserve">else doesn’t.</w:t>
      </w:r>
    </w:p>
    <w:p>
      <w:pPr>
        <w:pStyle w:val="BodyText"/>
      </w:pPr>
      <w:r>
        <w:t xml:space="preserve">More precisely: inheritance is simulated by</w:t>
      </w:r>
      <w:r>
        <w:t xml:space="preserve"> </w:t>
      </w:r>
      <w:r>
        <w:rPr>
          <w:b/>
          <w:bCs/>
        </w:rPr>
        <w:t xml:space="preserve">group targeting at the</w:t>
      </w:r>
      <w:r>
        <w:rPr>
          <w:b/>
          <w:bCs/>
        </w:rPr>
        <w:t xml:space="preserve"> </w:t>
      </w:r>
      <w:r>
        <w:rPr>
          <w:b/>
          <w:bCs/>
        </w:rPr>
        <w:t xml:space="preserve">branch level</w:t>
      </w:r>
      <w:r>
        <w:t xml:space="preserve">. CA doesn’t inherit through AUs the way GPOs inherited</w:t>
      </w:r>
      <w:r>
        <w:t xml:space="preserve"> </w:t>
      </w:r>
      <w:r>
        <w:t xml:space="preserve">through OUs; the governance model makes up the difference by having</w:t>
      </w:r>
      <w:r>
        <w:t xml:space="preserve"> </w:t>
      </w:r>
      <w:r>
        <w:t xml:space="preserve">the branch group include everyone the ancestor GPO would have</w:t>
      </w:r>
      <w:r>
        <w:t xml:space="preserve"> </w:t>
      </w:r>
      <w:r>
        <w:t xml:space="preserve">targeted.</w:t>
      </w:r>
    </w:p>
    <w:bookmarkEnd w:id="25"/>
    <w:bookmarkStart w:id="30" w:name="hr-driven-lifecycle-joiner-mover-leaver"/>
    <w:p>
      <w:pPr>
        <w:pStyle w:val="Heading2"/>
      </w:pPr>
      <w:r>
        <w:t xml:space="preserve">HR-driven lifecycle (joiner / mover / leaver)</w:t>
      </w:r>
    </w:p>
    <w:p>
      <w:pPr>
        <w:pStyle w:val="FirstParagraph"/>
      </w:pPr>
      <w:r>
        <w:t xml:space="preserve">OrgPath is not a thing admins maintain. It is driven by the HR system.</w:t>
      </w:r>
      <w:r>
        <w:t xml:space="preserve"> </w:t>
      </w:r>
      <w:r>
        <w:t xml:space="preserve">The lifecycle is:</w:t>
      </w:r>
    </w:p>
    <w:bookmarkStart w:id="26" w:name="joiner"/>
    <w:p>
      <w:pPr>
        <w:pStyle w:val="Heading3"/>
      </w:pPr>
      <w:r>
        <w:t xml:space="preserve">Joiner</w:t>
      </w:r>
    </w:p>
    <w:p>
      <w:pPr>
        <w:pStyle w:val="Compact"/>
        <w:numPr>
          <w:ilvl w:val="0"/>
          <w:numId w:val="1004"/>
        </w:numPr>
      </w:pPr>
      <w:r>
        <w:t xml:space="preserve">HR system creates the employee record with</w:t>
      </w:r>
      <w:r>
        <w:t xml:space="preserve"> </w:t>
      </w:r>
      <w:r>
        <w:rPr>
          <w:rStyle w:val="VerbatimChar"/>
        </w:rPr>
        <w:t xml:space="preserve">orgUnit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department</w:t>
      </w:r>
    </w:p>
    <w:p>
      <w:pPr>
        <w:pStyle w:val="Compact"/>
        <w:numPr>
          <w:ilvl w:val="1"/>
          <w:numId w:val="1005"/>
        </w:numPr>
      </w:pPr>
      <w:r>
        <w:rPr>
          <w:rStyle w:val="VerbatimChar"/>
        </w:rPr>
        <w:t xml:space="preserve">location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manager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HR → Entra provisioning populates the standard attributes.</w:t>
      </w:r>
    </w:p>
    <w:p>
      <w:pPr>
        <w:pStyle w:val="Compact"/>
        <w:numPr>
          <w:ilvl w:val="0"/>
          <w:numId w:val="1004"/>
        </w:numPr>
      </w:pPr>
      <w:r>
        <w:t xml:space="preserve">A governed workflow —</w:t>
      </w:r>
      <w:r>
        <w:t xml:space="preserve"> </w:t>
      </w:r>
      <w:r>
        <w:rPr>
          <w:rStyle w:val="VerbatimChar"/>
        </w:rPr>
        <w:t xml:space="preserve">assign-orgpath</w:t>
      </w:r>
      <w:r>
        <w:t xml:space="preserve"> </w:t>
      </w:r>
      <w:r>
        <w:t xml:space="preserve">— computes the OrgPath from</w:t>
      </w:r>
      <w:r>
        <w:t xml:space="preserve"> </w:t>
      </w:r>
      <w:r>
        <w:t xml:space="preserve">HR attributes per MOD_A’s mapping rules and writes it to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Dynamic groups recompute membership within the Entra cadence</w:t>
      </w:r>
      <w:r>
        <w:t xml:space="preserve"> </w:t>
      </w:r>
      <w:r>
        <w:t xml:space="preserve">(typically &lt;15 minutes).</w:t>
      </w:r>
    </w:p>
    <w:p>
      <w:pPr>
        <w:pStyle w:val="Compact"/>
        <w:numPr>
          <w:ilvl w:val="0"/>
          <w:numId w:val="1004"/>
        </w:numPr>
      </w:pPr>
      <w:r>
        <w:t xml:space="preserve">The user is now an AU member, CA-scoped, group-licensed, and</w:t>
      </w:r>
      <w:r>
        <w:t xml:space="preserve"> </w:t>
      </w:r>
      <w:r>
        <w:t xml:space="preserve">visible to the drift engine — all automatically.</w:t>
      </w:r>
    </w:p>
    <w:bookmarkEnd w:id="26"/>
    <w:bookmarkStart w:id="27" w:name="mover"/>
    <w:p>
      <w:pPr>
        <w:pStyle w:val="Heading3"/>
      </w:pPr>
      <w:r>
        <w:t xml:space="preserve">Mover</w:t>
      </w:r>
    </w:p>
    <w:p>
      <w:pPr>
        <w:pStyle w:val="FirstParagraph"/>
      </w:pPr>
      <w:r>
        <w:t xml:space="preserve">The employee’s HR record changes</w:t>
      </w:r>
      <w:r>
        <w:t xml:space="preserve"> </w:t>
      </w:r>
      <w:r>
        <w:rPr>
          <w:rStyle w:val="VerbatimChar"/>
        </w:rPr>
        <w:t xml:space="preserve">department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AP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BUD</w:t>
      </w:r>
      <w:r>
        <w:t xml:space="preserve">. The</w:t>
      </w:r>
      <w:r>
        <w:t xml:space="preserve"> </w:t>
      </w:r>
      <w:r>
        <w:t xml:space="preserve">same</w:t>
      </w:r>
      <w:r>
        <w:t xml:space="preserve"> </w:t>
      </w:r>
      <w:r>
        <w:rPr>
          <w:rStyle w:val="VerbatimChar"/>
        </w:rPr>
        <w:t xml:space="preserve">assign-orgpath</w:t>
      </w:r>
      <w:r>
        <w:t xml:space="preserve"> </w:t>
      </w:r>
      <w:r>
        <w:t xml:space="preserve">workflow runs; the OrgPath updates from</w:t>
      </w:r>
      <w:r>
        <w:t xml:space="preserve"> </w:t>
      </w:r>
      <w:r>
        <w:rPr>
          <w:rStyle w:val="VerbatimChar"/>
        </w:rPr>
        <w:t xml:space="preserve">ORG-FIN-AP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ORG-FIN-BUD</w:t>
      </w:r>
      <w:r>
        <w:t xml:space="preserve">; every downstream group, AU, CA scope,</w:t>
      </w:r>
      <w:r>
        <w:t xml:space="preserve"> </w:t>
      </w:r>
      <w:r>
        <w:t xml:space="preserve">and license assignment recomputes automatically. No hand edits; no</w:t>
      </w:r>
      <w:r>
        <w:t xml:space="preserve"> </w:t>
      </w:r>
      <w:r>
        <w:t xml:space="preserve">ticket; no drift window.</w:t>
      </w:r>
    </w:p>
    <w:bookmarkEnd w:id="27"/>
    <w:bookmarkStart w:id="28" w:name="leaver"/>
    <w:p>
      <w:pPr>
        <w:pStyle w:val="Heading3"/>
      </w:pPr>
      <w:r>
        <w:t xml:space="preserve">Leaver</w:t>
      </w:r>
    </w:p>
    <w:p>
      <w:pPr>
        <w:pStyle w:val="FirstParagraph"/>
      </w:pPr>
      <w:r>
        <w:t xml:space="preserve">Termination writes a</w:t>
      </w:r>
      <w:r>
        <w:t xml:space="preserve"> </w:t>
      </w:r>
      <w:r>
        <w:rPr>
          <w:rStyle w:val="VerbatimChar"/>
        </w:rPr>
        <w:t xml:space="preserve">leaver</w:t>
      </w:r>
      <w:r>
        <w:t xml:space="preserve"> </w:t>
      </w:r>
      <w:r>
        <w:t xml:space="preserve">attribute that the workflow catches;</w:t>
      </w:r>
      <w:r>
        <w:t xml:space="preserve"> </w:t>
      </w:r>
      <w:r>
        <w:t xml:space="preserve">the user’s OrgPath is set to</w:t>
      </w:r>
      <w:r>
        <w:t xml:space="preserve"> </w:t>
      </w:r>
      <w:r>
        <w:rPr>
          <w:rStyle w:val="VerbatimChar"/>
        </w:rPr>
        <w:t xml:space="preserve">ORG-TERMINATED</w:t>
      </w:r>
      <w:r>
        <w:t xml:space="preserve"> </w:t>
      </w:r>
      <w:r>
        <w:t xml:space="preserve">(or removed); dynamic</w:t>
      </w:r>
      <w:r>
        <w:t xml:space="preserve"> </w:t>
      </w:r>
      <w:r>
        <w:t xml:space="preserve">groups evict; AU membership drops; CA policy scope drops; license</w:t>
      </w:r>
      <w:r>
        <w:t xml:space="preserve"> </w:t>
      </w:r>
      <w:r>
        <w:t xml:space="preserve">drops. Provenance points to the HR event that triggered it.</w:t>
      </w:r>
    </w:p>
    <w:bookmarkEnd w:id="28"/>
    <w:bookmarkStart w:id="29" w:name="workflow-catalog-mod_e"/>
    <w:p>
      <w:pPr>
        <w:pStyle w:val="Heading3"/>
      </w:pPr>
      <w:r>
        <w:t xml:space="preserve">Workflow catalog (MOD_E)</w:t>
      </w:r>
    </w:p>
    <w:p>
      <w:pPr>
        <w:pStyle w:val="FirstParagraph"/>
      </w:pPr>
      <w:r>
        <w:t xml:space="preserve">Every lifecycle workflow (joiner, mover, leaver, re-hire, contractor</w:t>
      </w:r>
      <w:r>
        <w:t xml:space="preserve"> </w:t>
      </w:r>
      <w:r>
        <w:t xml:space="preserve">onboard, executive provision, emergency deprovision, name change,</w:t>
      </w:r>
      <w:r>
        <w:t xml:space="preserve"> </w:t>
      </w:r>
      <w:r>
        <w:t xml:space="preserve">reorg) is enumerated in MOD_E with its triggers, inputs, outputs, and</w:t>
      </w:r>
      <w:r>
        <w:t xml:space="preserve"> </w:t>
      </w:r>
      <w:r>
        <w:t xml:space="preserve">exception paths. There are no undocumented identity workflows.</w:t>
      </w:r>
    </w:p>
    <w:bookmarkEnd w:id="29"/>
    <w:bookmarkEnd w:id="30"/>
    <w:bookmarkStart w:id="31" w:name="five-drift-categories-mod_m"/>
    <w:p>
      <w:pPr>
        <w:pStyle w:val="Heading2"/>
      </w:pPr>
      <w:r>
        <w:t xml:space="preserve">Five drift categories (MOD_M)</w:t>
      </w:r>
    </w:p>
    <w:p>
      <w:pPr>
        <w:pStyle w:val="FirstParagraph"/>
      </w:pPr>
      <w:r>
        <w:t xml:space="preserve">The drift detection engine classifies every identity finding into one</w:t>
      </w:r>
      <w:r>
        <w:t xml:space="preserve"> </w:t>
      </w:r>
      <w:r>
        <w:t xml:space="preserve">of five categories: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Schema Drift</w:t>
            </w:r>
          </w:p>
        </w:tc>
        <w:tc>
          <w:tcPr/>
          <w:p>
            <w:pPr>
              <w:pStyle w:val="Compact"/>
            </w:pPr>
            <w:r>
              <w:t xml:space="preserve">A dynamic-group rule references an attribute not in MOD_A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Value Drift</w:t>
            </w:r>
          </w:p>
        </w:tc>
        <w:tc>
          <w:tcPr/>
          <w:p>
            <w:pPr>
              <w:pStyle w:val="Compact"/>
            </w:pPr>
            <w:r>
              <w:t xml:space="preserve">HR says</w:t>
            </w:r>
            <w:r>
              <w:t xml:space="preserve"> </w:t>
            </w:r>
            <w:r>
              <w:rPr>
                <w:rStyle w:val="VerbatimChar"/>
              </w:rPr>
              <w:t xml:space="preserve">ORG-FIN-AP</w:t>
            </w:r>
            <w:r>
              <w:t xml:space="preserve">; user’s</w:t>
            </w:r>
            <w:r>
              <w:t xml:space="preserve"> </w:t>
            </w:r>
            <w:r>
              <w:rPr>
                <w:rStyle w:val="VerbatimChar"/>
              </w:rPr>
              <w:t xml:space="preserve">extensionAttribute1</w:t>
            </w:r>
            <w:r>
              <w:t xml:space="preserve"> </w:t>
            </w:r>
            <w:r>
              <w:t xml:space="preserve">says</w:t>
            </w:r>
            <w:r>
              <w:t xml:space="preserve"> </w:t>
            </w:r>
            <w:r>
              <w:rPr>
                <w:rStyle w:val="VerbatimChar"/>
              </w:rPr>
              <w:t xml:space="preserve">ORG-FIN-BUD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Hierarchy Drift</w:t>
            </w:r>
          </w:p>
        </w:tc>
        <w:tc>
          <w:tcPr/>
          <w:p>
            <w:pPr>
              <w:pStyle w:val="Compact"/>
            </w:pPr>
            <w:r>
              <w:t xml:space="preserve">An AU references an OrgPath segment no longer in the codebook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Orphan Drift</w:t>
            </w:r>
          </w:p>
        </w:tc>
        <w:tc>
          <w:tcPr/>
          <w:p>
            <w:pPr>
              <w:pStyle w:val="Compact"/>
            </w:pPr>
            <w:r>
              <w:t xml:space="preserve">A security group exists that isn’t in MOD_B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Phantom Drift</w:t>
            </w:r>
          </w:p>
        </w:tc>
        <w:tc>
          <w:tcPr/>
          <w:p>
            <w:pPr>
              <w:pStyle w:val="Compact"/>
            </w:pPr>
            <w:r>
              <w:t xml:space="preserve">MOD_A defines</w:t>
            </w:r>
            <w:r>
              <w:t xml:space="preserve"> </w:t>
            </w:r>
            <w:r>
              <w:rPr>
                <w:rStyle w:val="VerbatimChar"/>
              </w:rPr>
              <w:t xml:space="preserve">ORG-FIN-TAX-WEST</w:t>
            </w:r>
            <w:r>
              <w:t xml:space="preserve"> </w:t>
            </w:r>
            <w:r>
              <w:t xml:space="preserve">but zero users match</w:t>
            </w:r>
          </w:p>
        </w:tc>
      </w:tr>
    </w:tbl>
    <w:p>
      <w:pPr>
        <w:pStyle w:val="BodyText"/>
      </w:pPr>
      <w:r>
        <w:t xml:space="preserve">Every drift finding opens an SLA ticket per MOD_Q. Standard response</w:t>
      </w:r>
      <w:r>
        <w:t xml:space="preserve"> </w:t>
      </w:r>
      <w:r>
        <w:t xml:space="preserve">times: Schema (4 hours), Value (24 hours), Hierarchy (4 hours),</w:t>
      </w:r>
      <w:r>
        <w:t xml:space="preserve"> </w:t>
      </w:r>
      <w:r>
        <w:t xml:space="preserve">Orphan (48 hours), Phantom (7 days).</w:t>
      </w:r>
    </w:p>
    <w:bookmarkEnd w:id="31"/>
    <w:bookmarkStart w:id="41" w:name="migration-mod_f"/>
    <w:p>
      <w:pPr>
        <w:pStyle w:val="Heading2"/>
      </w:pPr>
      <w:r>
        <w:t xml:space="preserve">Migration (MOD_F)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Identity transformation pipeline diagram showing the flow: Legacy AD Objects…" title="" id="33" name="Picture"/>
            <a:graphic>
              <a:graphicData uri="http://schemas.openxmlformats.org/drawingml/2006/picture">
                <pic:pic>
                  <pic:nvPicPr>
                    <pic:cNvPr descr="images/04-identity-transformation-image-02-identity-transformation-pipeline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Identity transformation pipeline diagram showing the flow: Legacy AD Objects…</w:t>
      </w:r>
    </w:p>
    <w:p>
      <w:pPr>
        <w:pStyle w:val="BodyText"/>
      </w:pPr>
      <w:r>
        <w:t xml:space="preserve">Moving an existing AD forest into the OrgTree model is a phased</w:t>
      </w:r>
      <w:r>
        <w:t xml:space="preserve"> </w:t>
      </w:r>
      <w:r>
        <w:t xml:space="preserve">runbook, not a flag-day cutover.</w:t>
      </w:r>
    </w:p>
    <w:bookmarkStart w:id="35" w:name="phase-0-assessment"/>
    <w:p>
      <w:pPr>
        <w:pStyle w:val="Heading3"/>
      </w:pPr>
      <w:r>
        <w:t xml:space="preserve">Phase 0 — Assessment</w:t>
      </w:r>
    </w:p>
    <w:p>
      <w:pPr>
        <w:pStyle w:val="FirstParagraph"/>
      </w:pPr>
      <w:r>
        <w:t xml:space="preserve">Chapter 02’s Tier B assessment run, plus the Python OrgPath proposal</w:t>
      </w:r>
      <w:r>
        <w:t xml:space="preserve"> </w:t>
      </w:r>
      <w:r>
        <w:t xml:space="preserve">generator. Output: a draft codebook based on actual OU structure.</w:t>
      </w:r>
    </w:p>
    <w:bookmarkEnd w:id="35"/>
    <w:bookmarkStart w:id="36" w:name="phase-1-canon-authoring"/>
    <w:p>
      <w:pPr>
        <w:pStyle w:val="Heading3"/>
      </w:pPr>
      <w:r>
        <w:t xml:space="preserve">Phase 1 — Canon authoring</w:t>
      </w:r>
    </w:p>
    <w:p>
      <w:pPr>
        <w:pStyle w:val="FirstParagraph"/>
      </w:pPr>
      <w:r>
        <w:t xml:space="preserve">Steward reviews the draft codebook; edits; commits. MOD_A is now</w:t>
      </w:r>
      <w:r>
        <w:t xml:space="preserve"> </w:t>
      </w:r>
      <w:r>
        <w:t xml:space="preserve">authoritative. MOD_B rules and MOD_D AUs are authored in parallel.</w:t>
      </w:r>
    </w:p>
    <w:bookmarkEnd w:id="36"/>
    <w:bookmarkStart w:id="37" w:name="phase-2-pilot-division"/>
    <w:p>
      <w:pPr>
        <w:pStyle w:val="Heading3"/>
      </w:pPr>
      <w:r>
        <w:t xml:space="preserve">Phase 2 — Pilot division</w:t>
      </w:r>
    </w:p>
    <w:p>
      <w:pPr>
        <w:pStyle w:val="FirstParagraph"/>
      </w:pPr>
      <w:r>
        <w:t xml:space="preserve">Pick one division (usually IT or Operations), compute its OrgPath</w:t>
      </w:r>
      <w:r>
        <w:t xml:space="preserve"> </w:t>
      </w:r>
      <w:r>
        <w:t xml:space="preserve">mappings, stage the transformation plan, authorize, deliver. Validate</w:t>
      </w:r>
      <w:r>
        <w:t xml:space="preserve"> </w:t>
      </w:r>
      <w:r>
        <w:t xml:space="preserve">with Pester tests (MOD_J). Any drift is fixed before moving on.</w:t>
      </w:r>
    </w:p>
    <w:bookmarkEnd w:id="37"/>
    <w:bookmarkStart w:id="38" w:name="phase-3-division-by-division-rollout"/>
    <w:p>
      <w:pPr>
        <w:pStyle w:val="Heading3"/>
      </w:pPr>
      <w:r>
        <w:t xml:space="preserve">Phase 3 — Division-by-division rollout</w:t>
      </w:r>
    </w:p>
    <w:p>
      <w:pPr>
        <w:pStyle w:val="FirstParagraph"/>
      </w:pPr>
      <w:r>
        <w:t xml:space="preserve">Each division gets its own plan, its own review, its own delivery. No</w:t>
      </w:r>
      <w:r>
        <w:t xml:space="preserve"> </w:t>
      </w:r>
      <w:r>
        <w:t xml:space="preserve">division is rolled out until the previous one’s drift findings are</w:t>
      </w:r>
      <w:r>
        <w:t xml:space="preserve"> </w:t>
      </w:r>
      <w:r>
        <w:t xml:space="preserve">zero.</w:t>
      </w:r>
    </w:p>
    <w:bookmarkEnd w:id="38"/>
    <w:bookmarkStart w:id="39" w:name="phase-4-legacy-retirement"/>
    <w:p>
      <w:pPr>
        <w:pStyle w:val="Heading3"/>
      </w:pPr>
      <w:r>
        <w:t xml:space="preserve">Phase 4 — Legacy retirement</w:t>
      </w:r>
    </w:p>
    <w:p>
      <w:pPr>
        <w:pStyle w:val="FirstParagraph"/>
      </w:pPr>
      <w:r>
        <w:t xml:space="preserve">Once every user has an OrgPath and every OU has a dynamic-group</w:t>
      </w:r>
      <w:r>
        <w:t xml:space="preserve"> </w:t>
      </w:r>
      <w:r>
        <w:t xml:space="preserve">equivalent, the OU-based security groups and legacy GPOs are retired</w:t>
      </w:r>
      <w:r>
        <w:t xml:space="preserve"> </w:t>
      </w:r>
      <w:r>
        <w:t xml:space="preserve">in a governed deprecation pass. This is the only destructive phase;</w:t>
      </w:r>
      <w:r>
        <w:t xml:space="preserve"> </w:t>
      </w:r>
      <w:r>
        <w:t xml:space="preserve">it requires explicit Steward approval per item.</w:t>
      </w:r>
    </w:p>
    <w:bookmarkEnd w:id="39"/>
    <w:bookmarkStart w:id="40" w:name="phase-5-steady-state"/>
    <w:p>
      <w:pPr>
        <w:pStyle w:val="Heading3"/>
      </w:pPr>
      <w:r>
        <w:t xml:space="preserve">Phase 5 — Steady state</w:t>
      </w:r>
    </w:p>
    <w:p>
      <w:pPr>
        <w:pStyle w:val="FirstParagraph"/>
      </w:pPr>
      <w:r>
        <w:t xml:space="preserve">The daily assessment produces zero-action plans. The drift engine</w:t>
      </w:r>
      <w:r>
        <w:t xml:space="preserve"> </w:t>
      </w:r>
      <w:r>
        <w:t xml:space="preserve">reports green. The canon is the operational truth. The forest itself</w:t>
      </w:r>
      <w:r>
        <w:t xml:space="preserve"> </w:t>
      </w:r>
      <w:r>
        <w:t xml:space="preserve">remains (for DNS, DHCP, Kerberos-bound legacy apps) but is no longer</w:t>
      </w:r>
      <w:r>
        <w:t xml:space="preserve"> </w:t>
      </w:r>
      <w:r>
        <w:t xml:space="preserve">the governance model.</w:t>
      </w:r>
    </w:p>
    <w:bookmarkEnd w:id="40"/>
    <w:bookmarkEnd w:id="41"/>
    <w:bookmarkStart w:id="42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OrgTree migration passes when:</w:t>
      </w:r>
    </w:p>
    <w:p>
      <w:pPr>
        <w:pStyle w:val="Compact"/>
        <w:numPr>
          <w:ilvl w:val="0"/>
          <w:numId w:val="1006"/>
        </w:numPr>
      </w:pPr>
      <w:r>
        <w:t xml:space="preserve">Every HR-listed employee has a valid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Every OrgPath in use exists in MOD_A.</w:t>
      </w:r>
    </w:p>
    <w:p>
      <w:pPr>
        <w:pStyle w:val="Compact"/>
        <w:numPr>
          <w:ilvl w:val="0"/>
          <w:numId w:val="1008"/>
        </w:numPr>
      </w:pPr>
      <w:r>
        <w:t xml:space="preserve">Every dynamic group matches one of MOD_B’s three patterns.</w:t>
      </w:r>
    </w:p>
    <w:p>
      <w:pPr>
        <w:pStyle w:val="Compact"/>
        <w:numPr>
          <w:ilvl w:val="0"/>
          <w:numId w:val="1009"/>
        </w:numPr>
      </w:pPr>
      <w:r>
        <w:t xml:space="preserve">Every AU’s membership rule mirrors its dynamic group’s rule.</w:t>
      </w:r>
    </w:p>
    <w:p>
      <w:pPr>
        <w:pStyle w:val="Compact"/>
        <w:numPr>
          <w:ilvl w:val="0"/>
          <w:numId w:val="1010"/>
        </w:numPr>
      </w:pPr>
      <w:r>
        <w:t xml:space="preserve">Every CA policy targets only OrgTree-governed groups.</w:t>
      </w:r>
    </w:p>
    <w:p>
      <w:pPr>
        <w:pStyle w:val="Compact"/>
        <w:numPr>
          <w:ilvl w:val="0"/>
          <w:numId w:val="1011"/>
        </w:numPr>
      </w:pPr>
      <w:r>
        <w:t xml:space="preserve">MOD_M reports zero drift across all five categories.</w:t>
      </w:r>
    </w:p>
    <w:p>
      <w:pPr>
        <w:pStyle w:val="Compact"/>
        <w:numPr>
          <w:ilvl w:val="0"/>
          <w:numId w:val="1012"/>
        </w:numPr>
      </w:pPr>
      <w:r>
        <w:t xml:space="preserve">The nightly assessment → plan run produces a zero-action plan.</w:t>
      </w:r>
    </w:p>
    <w:p>
      <w:pPr>
        <w:pStyle w:val="FirstParagraph"/>
      </w:pPr>
      <w:r>
        <w:t xml:space="preserve">Only when every box is ticked is the tenant</w:t>
      </w:r>
      <w:r>
        <w:t xml:space="preserve"> </w:t>
      </w:r>
      <w:r>
        <w:t xml:space="preserve">“in OrgTree steady state.”</w:t>
      </w:r>
    </w:p>
    <w:bookmarkEnd w:id="42"/>
    <w:bookmarkStart w:id="43" w:name="what-this-buys-the-agency"/>
    <w:p>
      <w:pPr>
        <w:pStyle w:val="Heading2"/>
      </w:pPr>
      <w:r>
        <w:t xml:space="preserve">What this buys the agency</w:t>
      </w:r>
    </w:p>
    <w:p>
      <w:pPr>
        <w:pStyle w:val="FirstParagraph"/>
      </w:pPr>
      <w:r>
        <w:t xml:space="preserve">The tangible outcomes, once OrgTree is in place: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Delegation is provable.</w:t>
      </w:r>
      <w:r>
        <w:t xml:space="preserve"> </w:t>
      </w:r>
      <w:r>
        <w:t xml:space="preserve">Audit questions like</w:t>
      </w:r>
      <w:r>
        <w:t xml:space="preserve"> </w:t>
      </w:r>
      <w:r>
        <w:t xml:space="preserve">“who can manage</w:t>
      </w:r>
      <w:r>
        <w:t xml:space="preserve"> </w:t>
      </w:r>
      <w:r>
        <w:t xml:space="preserve">Finance users?”</w:t>
      </w:r>
      <w:r>
        <w:t xml:space="preserve"> </w:t>
      </w:r>
      <w:r>
        <w:t xml:space="preserve">have a literal answer in MOD_D.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Reorganizations are cheap.</w:t>
      </w:r>
      <w:r>
        <w:t xml:space="preserve"> </w:t>
      </w:r>
      <w:r>
        <w:t xml:space="preserve">A division name change propagates</w:t>
      </w:r>
      <w:r>
        <w:t xml:space="preserve"> </w:t>
      </w:r>
      <w:r>
        <w:t xml:space="preserve">through codebook + dynamic groups + AUs in one PR.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Access reviews have structure.</w:t>
      </w:r>
      <w:r>
        <w:t xml:space="preserve"> </w:t>
      </w:r>
      <w:r>
        <w:t xml:space="preserve">Rather than reviewing</w:t>
      </w:r>
      <w:r>
        <w:t xml:space="preserve"> </w:t>
      </w:r>
      <w:r>
        <w:t xml:space="preserve">“all</w:t>
      </w:r>
      <w:r>
        <w:t xml:space="preserve"> </w:t>
      </w:r>
      <w:r>
        <w:t xml:space="preserve">Finance security groups,”</w:t>
      </w:r>
      <w:r>
        <w:t xml:space="preserve"> </w:t>
      </w:r>
      <w:r>
        <w:t xml:space="preserve">reviewers see OrgTree-governed groups</w:t>
      </w:r>
      <w:r>
        <w:t xml:space="preserve"> </w:t>
      </w:r>
      <w:r>
        <w:t xml:space="preserve">with clear scope semantics.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Compliance queries are cacheable.</w:t>
      </w:r>
      <w:r>
        <w:t xml:space="preserve"> </w:t>
      </w:r>
      <w:r>
        <w:t xml:space="preserve">“Who has access to</w:t>
      </w:r>
      <w:r>
        <w:t xml:space="preserve"> </w:t>
      </w:r>
      <w:r>
        <w:t xml:space="preserve">CUI-tagged resources?”</w:t>
      </w:r>
      <w:r>
        <w:t xml:space="preserve"> </w:t>
      </w:r>
      <w:r>
        <w:t xml:space="preserve">is a dynamic-group query, not a</w:t>
      </w:r>
      <w:r>
        <w:t xml:space="preserve"> </w:t>
      </w:r>
      <w:r>
        <w:t xml:space="preserve">spreadsheet reconciliation.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Drift is visible before audit.</w:t>
      </w:r>
      <w:r>
        <w:t xml:space="preserve"> </w:t>
      </w:r>
      <w:r>
        <w:t xml:space="preserve">MOD_M’s findings hit an SLA</w:t>
      </w:r>
      <w:r>
        <w:t xml:space="preserve"> </w:t>
      </w:r>
      <w:r>
        <w:t xml:space="preserve">ticket long before they reach a 3PAO’s hands.</w:t>
      </w:r>
    </w:p>
    <w:bookmarkEnd w:id="43"/>
    <w:bookmarkStart w:id="49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MOD_A codebook · MOD_B dynamic group library · MOD_C</w:t>
      </w:r>
      <w:r>
        <w:t xml:space="preserve"> </w:t>
      </w:r>
      <w:r>
        <w:t xml:space="preserve">attribute mapping · MOD_D delegation matrix · MOD_E workflow</w:t>
      </w:r>
      <w:r>
        <w:t xml:space="preserve"> </w:t>
      </w:r>
      <w:r>
        <w:t xml:space="preserve">catalog · MOD_F migration runbook · MOD_H JSON schema ·</w:t>
      </w:r>
      <w:r>
        <w:t xml:space="preserve"> </w:t>
      </w:r>
      <w:r>
        <w:t xml:space="preserve">MOD_M drift engine · MOD_Y identity graph normalization.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44">
        <w:r>
          <w:rPr>
            <w:rStyle w:val="Hyperlink"/>
          </w:rPr>
          <w:t xml:space="preserve">modernization/orgtree.qmd</w:t>
        </w:r>
      </w:hyperlink>
      <w:r>
        <w:t xml:space="preserve"> </w:t>
      </w:r>
      <w:r>
        <w:t xml:space="preserve">·</w:t>
      </w:r>
      <w:r>
        <w:t xml:space="preserve"> </w:t>
      </w:r>
      <w:hyperlink r:id="rId45">
        <w:r>
          <w:rPr>
            <w:rStyle w:val="Hyperlink"/>
          </w:rPr>
          <w:t xml:space="preserve">modernization/codebook.qmd</w:t>
        </w:r>
      </w:hyperlink>
      <w:r>
        <w:t xml:space="preserve"> </w:t>
      </w:r>
      <w:r>
        <w:t xml:space="preserve">·</w:t>
      </w:r>
      <w:r>
        <w:t xml:space="preserve"> </w:t>
      </w:r>
      <w:hyperlink r:id="rId46">
        <w:r>
          <w:rPr>
            <w:rStyle w:val="Hyperlink"/>
          </w:rPr>
          <w:t xml:space="preserve">modernization/dynamic-groups.qmd</w:t>
        </w:r>
      </w:hyperlink>
      <w:r>
        <w:t xml:space="preserve"> </w:t>
      </w:r>
      <w:r>
        <w:t xml:space="preserve">·</w:t>
      </w:r>
      <w:r>
        <w:t xml:space="preserve"> </w:t>
      </w:r>
      <w:hyperlink r:id="rId47">
        <w:r>
          <w:rPr>
            <w:rStyle w:val="Hyperlink"/>
          </w:rPr>
          <w:t xml:space="preserve">modernization/delegation.qmd</w:t>
        </w:r>
      </w:hyperlink>
      <w:r>
        <w:t xml:space="preserve">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Identity Modernization Guide (16,014 words) — the</w:t>
      </w:r>
      <w:r>
        <w:t xml:space="preserve"> </w:t>
      </w:r>
      <w:r>
        <w:t xml:space="preserve">v1.0 reference implementation, superseded by MOD canon.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48">
        <w:r>
          <w:rPr>
            <w:rStyle w:val="Hyperlink"/>
          </w:rPr>
          <w:t xml:space="preserve">Chapter 05 — Policy: GPO → Intune + Conditional Access</w:t>
        </w:r>
      </w:hyperlink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32" Target="media/rId32.png" /><Relationship Type="http://schemas.openxmlformats.org/officeDocument/2006/relationships/hyperlink" Id="rId45" Target="../../../modernization/codebook.html" TargetMode="External" /><Relationship Type="http://schemas.openxmlformats.org/officeDocument/2006/relationships/hyperlink" Id="rId47" Target="../../../modernization/delegation.html" TargetMode="External" /><Relationship Type="http://schemas.openxmlformats.org/officeDocument/2006/relationships/hyperlink" Id="rId46" Target="../../../modernization/dynamic-groups.html" TargetMode="External" /><Relationship Type="http://schemas.openxmlformats.org/officeDocument/2006/relationships/hyperlink" Id="rId44" Target="../../../modernization/orgtree.html" TargetMode="External" /><Relationship Type="http://schemas.openxmlformats.org/officeDocument/2006/relationships/hyperlink" Id="rId48" Target="05-policy-transforma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../../../modernization/codebook.html" TargetMode="External" /><Relationship Type="http://schemas.openxmlformats.org/officeDocument/2006/relationships/hyperlink" Id="rId47" Target="../../../modernization/delegation.html" TargetMode="External" /><Relationship Type="http://schemas.openxmlformats.org/officeDocument/2006/relationships/hyperlink" Id="rId46" Target="../../../modernization/dynamic-groups.html" TargetMode="External" /><Relationship Type="http://schemas.openxmlformats.org/officeDocument/2006/relationships/hyperlink" Id="rId44" Target="../../../modernization/orgtree.html" TargetMode="External" /><Relationship Type="http://schemas.openxmlformats.org/officeDocument/2006/relationships/hyperlink" Id="rId48" Target="05-policy-transform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04 — Identity: x.500 Hierarchy → Flat Entra ID + OrgPath</dc:title>
  <dc:creator/>
  <cp:keywords/>
  <dcterms:created xsi:type="dcterms:W3CDTF">2026-05-06T19:44:53Z</dcterms:created>
  <dcterms:modified xsi:type="dcterms:W3CDTF">2026-05-06T19:44:53Z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Identity architects · canon stewards · delegated admins</vt:lpwstr>
  </property>
  <property fmtid="{D5CDD505-2E9C-101B-9397-08002B2CF9AE}" pid="4" name="biblio-config">
    <vt:lpwstr>True</vt:lpwstr>
  </property>
  <property fmtid="{D5CDD505-2E9C-101B-9397-08002B2CF9AE}" pid="5" name="canon-source">
    <vt:lpwstr>docs/modernization/orgtree.qmd + MOD_A/B/C/D/F + Posted Identity Modernization Guide</vt:lpwstr>
  </property>
  <property fmtid="{D5CDD505-2E9C-101B-9397-08002B2CF9AE}" pid="6" name="chapter">
    <vt:lpwstr>4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How the OU tree becomes OrgPath, dynamic groups, Administrative Units, and Conditional Access</vt:lpwstr>
  </property>
  <property fmtid="{D5CDD505-2E9C-101B-9397-08002B2CF9AE}" pid="16" name="toc-title">
    <vt:lpwstr>Table of contents</vt:lpwstr>
  </property>
</Properties>
</file>