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05 — Policy: GPO → Intune + Conditional Access</w:t>
      </w:r>
    </w:p>
    <w:p>
      <w:pPr>
        <w:pStyle w:val="Subtitle"/>
      </w:pPr>
      <w:r>
        <w:t xml:space="preserve">How twenty-five years of Group Policy becomes Intune configuration profiles, compliance policies, and Conditional Access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6" w:name="Xa1de99d3ce101fa1ce4e45dd87c3e9fcde0ad27"/>
    <w:p>
      <w:pPr>
        <w:pStyle w:val="Heading1"/>
      </w:pPr>
      <w:r>
        <w:t xml:space="preserve">Chapter 05 — Policy: GPO → Intune + Conditional Access</w:t>
      </w:r>
    </w:p>
    <w:p>
      <w:pPr>
        <w:pStyle w:val="FirstParagraph"/>
      </w:pPr>
      <w:r>
        <w:rPr>
          <w:i/>
          <w:iCs/>
        </w:rPr>
        <w:t xml:space="preserve">How twenty-five years of Group Policy becomes modern policy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Figure 5.1 — GPO categories mapped to their modern target surfaces</w:t>
            </w:r>
          </w:p>
        </w:tc>
      </w:tr>
    </w:tbl>
    <w:p>
      <w:pPr>
        <w:pStyle w:val="ImageCaption"/>
      </w:pPr>
      <w:r>
        <w:t xml:space="preserve">Figure 5.1 — GPO categories mapped to their modern target surfaces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policy claim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Group Policy was AD’s most ambitious delivery system — configuration,</w:t>
            </w:r>
            <w:r>
              <w:t xml:space="preserve"> </w:t>
            </w:r>
            <w:r>
              <w:t xml:space="preserve">security, software deployment, scripts, drive mappings, and more,</w:t>
            </w:r>
            <w:r>
              <w:t xml:space="preserve"> </w:t>
            </w:r>
            <w:r>
              <w:t xml:space="preserve">inheriting down an OU tree and filtered by security groups. Microsoft’s</w:t>
            </w:r>
            <w:r>
              <w:t xml:space="preserve"> </w:t>
            </w:r>
            <w:r>
              <w:t xml:space="preserve">replacement surface is not one product; it is four:</w:t>
            </w:r>
            <w:r>
              <w:t xml:space="preserve"> </w:t>
            </w:r>
            <w:r>
              <w:rPr>
                <w:b/>
                <w:bCs/>
              </w:rPr>
              <w:t xml:space="preserve">Intune</w:t>
            </w:r>
            <w:r>
              <w:t xml:space="preserve"> </w:t>
            </w:r>
            <w:r>
              <w:t xml:space="preserve">(device configuration + compliance),</w:t>
            </w:r>
            <w:r>
              <w:t xml:space="preserve"> </w:t>
            </w:r>
            <w:r>
              <w:rPr>
                <w:b/>
                <w:bCs/>
              </w:rPr>
              <w:t xml:space="preserve">Conditional Access</w:t>
            </w:r>
            <w:r>
              <w:t xml:space="preserve"> </w:t>
            </w:r>
            <w:r>
              <w:t xml:space="preserve">(access</w:t>
            </w:r>
            <w:r>
              <w:t xml:space="preserve"> </w:t>
            </w:r>
            <w:r>
              <w:t xml:space="preserve">control),</w:t>
            </w:r>
            <w:r>
              <w:t xml:space="preserve"> </w:t>
            </w:r>
            <w:r>
              <w:rPr>
                <w:b/>
                <w:bCs/>
              </w:rPr>
              <w:t xml:space="preserve">Azure Arc / Guest Configuration</w:t>
            </w:r>
            <w:r>
              <w:t xml:space="preserve"> </w:t>
            </w:r>
            <w:r>
              <w:t xml:space="preserve">(server configuration),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b/>
                <w:bCs/>
              </w:rPr>
              <w:t xml:space="preserve">Entra ID settings catalog</w:t>
            </w:r>
            <w:r>
              <w:t xml:space="preserve"> </w:t>
            </w:r>
            <w:r>
              <w:t xml:space="preserve">(tenant policy).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UIAO maps every GPO category to the correct modern target, keeps the</w:t>
            </w:r>
            <w:r>
              <w:t xml:space="preserve"> </w:t>
            </w:r>
            <w:r>
              <w:t xml:space="preserve">mapping canonical in Gitea, and delivers policies through the same</w:t>
            </w:r>
            <w:r>
              <w:t xml:space="preserve"> </w:t>
            </w:r>
            <w:r>
              <w:t xml:space="preserve">plan-and-deliver pipeline used for identity.</w:t>
            </w:r>
          </w:p>
          <w:p/>
        </w:tc>
      </w:tr>
    </w:tbl>
    <w:bookmarkStart w:id="12" w:name="the-four-target-surfaces"/>
    <w:p>
      <w:pPr>
        <w:pStyle w:val="Heading2"/>
      </w:pPr>
      <w:r>
        <w:t xml:space="preserve">The four target surfaces</w:t>
      </w:r>
    </w:p>
    <w:p>
      <w:pPr>
        <w:pStyle w:val="FirstParagraph"/>
      </w:pPr>
      <w:r>
        <w:t xml:space="preserve">Every GPO falls into one of four categories. Each category has a clear</w:t>
      </w:r>
      <w:r>
        <w:t xml:space="preserve"> </w:t>
      </w:r>
      <w:r>
        <w:t xml:space="preserve">modern home.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GPO category</w:t>
            </w:r>
          </w:p>
        </w:tc>
        <w:tc>
          <w:tcPr/>
          <w:p>
            <w:pPr>
              <w:pStyle w:val="Compact"/>
            </w:pPr>
            <w:r>
              <w:t xml:space="preserve">Modern target</w:t>
            </w:r>
          </w:p>
        </w:tc>
        <w:tc>
          <w:tcPr/>
          <w:p>
            <w:pPr>
              <w:pStyle w:val="Compact"/>
            </w:pPr>
            <w:r>
              <w:t xml:space="preserve">OrgPath-scoped?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Device configuration</w:t>
            </w:r>
            <w:r>
              <w:t xml:space="preserve"> </w:t>
            </w:r>
            <w:r>
              <w:t xml:space="preserve">(lockscreen, power, printers, drive maps)</w:t>
            </w:r>
          </w:p>
        </w:tc>
        <w:tc>
          <w:tcPr/>
          <w:p>
            <w:pPr>
              <w:pStyle w:val="Compact"/>
            </w:pPr>
            <w:r>
              <w:t xml:space="preserve">Intune Configuration Profiles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Security baselines</w:t>
            </w:r>
            <w:r>
              <w:t xml:space="preserve"> </w:t>
            </w:r>
            <w:r>
              <w:t xml:space="preserve">(password, lockout, audit, UAC)</w:t>
            </w:r>
          </w:p>
        </w:tc>
        <w:tc>
          <w:tcPr/>
          <w:p>
            <w:pPr>
              <w:pStyle w:val="Compact"/>
            </w:pPr>
            <w:r>
              <w:t xml:space="preserve">Intune Security Baselines + Entra ID Authentication Methods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Software deployment</w:t>
            </w:r>
            <w:r>
              <w:t xml:space="preserve"> </w:t>
            </w:r>
            <w:r>
              <w:t xml:space="preserve">(.msi, scripts)</w:t>
            </w:r>
          </w:p>
        </w:tc>
        <w:tc>
          <w:tcPr/>
          <w:p>
            <w:pPr>
              <w:pStyle w:val="Compact"/>
            </w:pPr>
            <w:r>
              <w:t xml:space="preserve">Intune Win32 Apps + Autopilot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Access control</w:t>
            </w:r>
            <w:r>
              <w:t xml:space="preserve"> </w:t>
            </w:r>
            <w:r>
              <w:t xml:space="preserve">(computer startup, logon scripts, drive-letter mapping)</w:t>
            </w:r>
          </w:p>
        </w:tc>
        <w:tc>
          <w:tcPr/>
          <w:p>
            <w:pPr>
              <w:pStyle w:val="Compact"/>
            </w:pPr>
            <w:r>
              <w:t xml:space="preserve">Conditional Access + Entra ID Session Controls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Server configuration</w:t>
            </w:r>
            <w:r>
              <w:t xml:space="preserve"> </w:t>
            </w:r>
            <w:r>
              <w:t xml:space="preserve">(roles, features, registry hardening)</w:t>
            </w:r>
          </w:p>
        </w:tc>
        <w:tc>
          <w:tcPr/>
          <w:p>
            <w:pPr>
              <w:pStyle w:val="Compact"/>
            </w:pPr>
            <w:r>
              <w:t xml:space="preserve">Azure Arc Guest Configuration + Azure Policy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Browser / mailbox config</w:t>
            </w:r>
            <w:r>
              <w:t xml:space="preserve"> </w:t>
            </w:r>
            <w:r>
              <w:t xml:space="preserve">(IE modes, Outlook templates)</w:t>
            </w:r>
          </w:p>
        </w:tc>
        <w:tc>
          <w:tcPr/>
          <w:p>
            <w:pPr>
              <w:pStyle w:val="Compact"/>
            </w:pPr>
            <w:r>
              <w:t xml:space="preserve">Intune Settings Catalog + Office 365 policies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</w:tbl>
    <w:p>
      <w:pPr>
        <w:pStyle w:val="BodyText"/>
      </w:pPr>
      <w:r>
        <w:t xml:space="preserve">Categorization is not free-form. Every GPO in the assessment</w:t>
      </w:r>
      <w:r>
        <w:t xml:space="preserve"> </w:t>
      </w:r>
      <w:r>
        <w:t xml:space="preserve">(</w:t>
      </w:r>
      <w:r>
        <w:rPr>
          <w:rStyle w:val="VerbatimChar"/>
        </w:rPr>
        <w:t xml:space="preserve">assessments/&lt;run-id&gt;/gpos/</w:t>
      </w:r>
      <w:r>
        <w:t xml:space="preserve">) gets classified into exactly one target</w:t>
      </w:r>
      <w:r>
        <w:t xml:space="preserve"> </w:t>
      </w:r>
      <w:r>
        <w:t xml:space="preserve">category by the Python analyzer, and the Plan stage proposes a</w:t>
      </w:r>
      <w:r>
        <w:t xml:space="preserve"> </w:t>
      </w:r>
      <w:r>
        <w:t xml:space="preserve">one-for-one Intune/CA/Arc/M365 equivalent.</w:t>
      </w:r>
    </w:p>
    <w:bookmarkEnd w:id="12"/>
    <w:bookmarkStart w:id="13" w:name="Xfa1d40b42ecb5f5f7e28d09d9e50fc1f995d928"/>
    <w:p>
      <w:pPr>
        <w:pStyle w:val="Heading2"/>
      </w:pPr>
      <w:r>
        <w:t xml:space="preserve">Why the 1:1 mapping fails (and what we do instead)</w:t>
      </w:r>
    </w:p>
    <w:p>
      <w:pPr>
        <w:pStyle w:val="FirstParagraph"/>
      </w:pPr>
      <w:r>
        <w:t xml:space="preserve">If a GPO has fifty settings, naïve mapping produces fifty Intune</w:t>
      </w:r>
      <w:r>
        <w:t xml:space="preserve"> </w:t>
      </w:r>
      <w:r>
        <w:t xml:space="preserve">settings and calls the job done. That’s wrong for three reasons.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Signal-to-noise.</w:t>
      </w:r>
      <w:r>
        <w:t xml:space="preserve"> </w:t>
      </w:r>
      <w:r>
        <w:t xml:space="preserve">A twenty-five-year-old GPO almost always</w:t>
      </w:r>
      <w:r>
        <w:t xml:space="preserve"> </w:t>
      </w:r>
      <w:r>
        <w:t xml:space="preserve">contains settings nobody can attribute to a current requirement.</w:t>
      </w:r>
      <w:r>
        <w:t xml:space="preserve"> </w:t>
      </w:r>
      <w:r>
        <w:t xml:space="preserve">Migrating them preserves dead weight.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Conflict surface.</w:t>
      </w:r>
      <w:r>
        <w:t xml:space="preserve"> </w:t>
      </w:r>
      <w:r>
        <w:t xml:space="preserve">Entra ID’s settings catalog has clearer</w:t>
      </w:r>
      <w:r>
        <w:t xml:space="preserve"> </w:t>
      </w:r>
      <w:r>
        <w:t xml:space="preserve">precedence rules than GPO’s</w:t>
      </w:r>
      <w:r>
        <w:t xml:space="preserve"> </w:t>
      </w:r>
      <w:r>
        <w:t xml:space="preserve">“merge vs replace”</w:t>
      </w:r>
      <w:r>
        <w:t xml:space="preserve"> </w:t>
      </w:r>
      <w:r>
        <w:t xml:space="preserve">semantics. A</w:t>
      </w:r>
      <w:r>
        <w:t xml:space="preserve"> </w:t>
      </w:r>
      <w:r>
        <w:t xml:space="preserve">faithful 1:1 port reproduces ancient conflicts that Intune would</w:t>
      </w:r>
      <w:r>
        <w:t xml:space="preserve"> </w:t>
      </w:r>
      <w:r>
        <w:t xml:space="preserve">make worse.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Targeting mismatch.</w:t>
      </w:r>
      <w:r>
        <w:t xml:space="preserve"> </w:t>
      </w:r>
      <w:r>
        <w:t xml:space="preserve">GPOs target by OU + security-group filter.</w:t>
      </w:r>
      <w:r>
        <w:t xml:space="preserve"> </w:t>
      </w:r>
      <w:r>
        <w:t xml:space="preserve">Intune targets by group. Copying a GPO’s filter verbatim into</w:t>
      </w:r>
      <w:r>
        <w:t xml:space="preserve"> </w:t>
      </w:r>
      <w:r>
        <w:t xml:space="preserve">Intune misses the OrgTree opportunity (Chapter 04) — instead of</w:t>
      </w:r>
      <w:r>
        <w:t xml:space="preserve"> </w:t>
      </w:r>
      <w:r>
        <w:t xml:space="preserve">OrgPath-scoped dynamic groups, you get manually-curated legacy</w:t>
      </w:r>
      <w:r>
        <w:t xml:space="preserve"> </w:t>
      </w:r>
      <w:r>
        <w:t xml:space="preserve">groups that drift.</w:t>
      </w:r>
    </w:p>
    <w:p>
      <w:pPr>
        <w:pStyle w:val="FirstParagraph"/>
      </w:pPr>
      <w:r>
        <w:t xml:space="preserve">The correct pattern is</w:t>
      </w:r>
      <w:r>
        <w:t xml:space="preserve"> </w:t>
      </w:r>
      <w:r>
        <w:rPr>
          <w:b/>
          <w:bCs/>
        </w:rPr>
        <w:t xml:space="preserve">regenerate, not copy</w:t>
      </w:r>
      <w:r>
        <w:t xml:space="preserve">. For each GPO category</w:t>
      </w:r>
      <w:r>
        <w:t xml:space="preserve"> </w:t>
      </w:r>
      <w:r>
        <w:t xml:space="preserve">UIAO proposes a canonical modern policy keyed to OrgPath branches, then</w:t>
      </w:r>
      <w:r>
        <w:t xml:space="preserve"> </w:t>
      </w:r>
      <w:r>
        <w:t xml:space="preserve">layers per-branch overrides only where the assessment data justifies</w:t>
      </w:r>
      <w:r>
        <w:t xml:space="preserve"> </w:t>
      </w:r>
      <w:r>
        <w:t xml:space="preserve">them. The result is dramatically simpler and substantially more</w:t>
      </w:r>
      <w:r>
        <w:t xml:space="preserve"> </w:t>
      </w:r>
      <w:r>
        <w:t xml:space="preserve">governed.</w:t>
      </w:r>
    </w:p>
    <w:bookmarkEnd w:id="13"/>
    <w:bookmarkStart w:id="17" w:name="Xc38bde12a91369c2a37af324a188b884f79e6b5"/>
    <w:p>
      <w:pPr>
        <w:pStyle w:val="Heading2"/>
      </w:pPr>
      <w:r>
        <w:t xml:space="preserve">Intune Configuration Profiles — the workhorse</w:t>
      </w:r>
    </w:p>
    <w:p>
      <w:pPr>
        <w:pStyle w:val="FirstParagraph"/>
      </w:pPr>
      <w:r>
        <w:t xml:space="preserve">Roughly 70% of GPO settings map to Intune Configuration Profiles.</w:t>
      </w:r>
      <w:r>
        <w:t xml:space="preserve"> </w:t>
      </w:r>
      <w:r>
        <w:t xml:space="preserve">Configuration profiles are opinionated policy bundles (MDM CSP under</w:t>
      </w:r>
      <w:r>
        <w:t xml:space="preserve"> </w:t>
      </w:r>
      <w:r>
        <w:t xml:space="preserve">the covers) targeting user or device dynamic groups.</w:t>
      </w:r>
    </w:p>
    <w:bookmarkStart w:id="14" w:name="policy-authoring"/>
    <w:p>
      <w:pPr>
        <w:pStyle w:val="Heading3"/>
      </w:pPr>
      <w:r>
        <w:t xml:space="preserve">Policy authoring</w:t>
      </w:r>
    </w:p>
    <w:p>
      <w:pPr>
        <w:pStyle w:val="FirstParagraph"/>
      </w:pPr>
      <w:r>
        <w:t xml:space="preserve">Every UIAO Configuration Profile is a YAML manifest in Gitea under</w:t>
      </w:r>
      <w:r>
        <w:t xml:space="preserve"> </w:t>
      </w:r>
      <w:r>
        <w:rPr>
          <w:rStyle w:val="VerbatimChar"/>
        </w:rPr>
        <w:t xml:space="preserve">policies/intune/config/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policy_id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CONF-ENDPOINT-BASELINE-v1</w:t>
      </w:r>
      <w:r>
        <w:br/>
      </w:r>
      <w:r>
        <w:rPr>
          <w:rStyle w:val="FunctionTok"/>
        </w:rPr>
        <w:t xml:space="preserve">display_name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UIAO Endpoint Baseline (v1)</w:t>
      </w:r>
      <w:r>
        <w:br/>
      </w:r>
      <w:r>
        <w:rPr>
          <w:rStyle w:val="FunctionTok"/>
        </w:rPr>
        <w:t xml:space="preserve">platform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windows-11</w:t>
      </w:r>
      <w:r>
        <w:br/>
      </w:r>
      <w:r>
        <w:rPr>
          <w:rStyle w:val="FunctionTok"/>
        </w:rPr>
        <w:t xml:space="preserve">profile_type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settings-catalog</w:t>
      </w:r>
      <w:r>
        <w:br/>
      </w:r>
      <w:r>
        <w:rPr>
          <w:rStyle w:val="FunctionTok"/>
        </w:rPr>
        <w:t xml:space="preserve">scope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include_groups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OrgTree-Enterprise-Devices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exclude_groups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OrgTree-Enterprise-BreakGlass-Devices</w:t>
      </w:r>
      <w:r>
        <w:br/>
      </w:r>
      <w:r>
        <w:rPr>
          <w:rStyle w:val="FunctionTok"/>
        </w:rPr>
        <w:t xml:space="preserve">settings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path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Security/Account/MaximumPasswordAge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value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60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path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Security/Lockout/LockoutDuration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value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15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path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Device/Experience/LockScreenMessage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value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"Federal-operated device. Authorized use only."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path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Browser/Edge/SmartScreen/Enable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value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provenance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derives_from_gpos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{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guid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"{8d1a7fc9-...}"</w:t>
      </w:r>
      <w:r>
        <w:rPr>
          <w:rStyle w:val="KeywordTok"/>
        </w:rPr>
        <w:t xml:space="preserve">,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gpo_name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"Enterprise Endpoint Baseline"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}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{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guid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"{2f6e4c7a-...}"</w:t>
      </w:r>
      <w:r>
        <w:rPr>
          <w:rStyle w:val="KeywordTok"/>
        </w:rPr>
        <w:t xml:space="preserve">,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gpo_name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"Global Browser Hardening"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}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canon_source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docs/customer-documents/compliance/policy-libraries/intune-templates.qmd</w:t>
      </w:r>
    </w:p>
    <w:p>
      <w:pPr>
        <w:pStyle w:val="FirstParagraph"/>
      </w:pPr>
      <w:r>
        <w:t xml:space="preserve">The manifest is versioned. A new version supersedes the old; both</w:t>
      </w:r>
      <w:r>
        <w:t xml:space="preserve"> </w:t>
      </w:r>
      <w:r>
        <w:t xml:space="preserve">versions remain in Gitea; the delivery pipeline carries over only the</w:t>
      </w:r>
      <w:r>
        <w:t xml:space="preserve"> </w:t>
      </w:r>
      <w:r>
        <w:t xml:space="preserve">newest</w:t>
      </w:r>
      <w:r>
        <w:t xml:space="preserve"> </w:t>
      </w:r>
      <w:r>
        <w:rPr>
          <w:rStyle w:val="VerbatimChar"/>
        </w:rPr>
        <w:t xml:space="preserve">enabled: true</w:t>
      </w:r>
      <w:r>
        <w:t xml:space="preserve"> </w:t>
      </w:r>
      <w:r>
        <w:t xml:space="preserve">manifest. Legacy versions are auditable but</w:t>
      </w:r>
      <w:r>
        <w:t xml:space="preserve"> </w:t>
      </w:r>
      <w:r>
        <w:t xml:space="preserve">not assigned.</w:t>
      </w:r>
    </w:p>
    <w:bookmarkEnd w:id="14"/>
    <w:bookmarkStart w:id="15" w:name="targeting"/>
    <w:p>
      <w:pPr>
        <w:pStyle w:val="Heading3"/>
      </w:pPr>
      <w:r>
        <w:t xml:space="preserve">Targeting</w:t>
      </w:r>
    </w:p>
    <w:p>
      <w:pPr>
        <w:pStyle w:val="FirstParagraph"/>
      </w:pPr>
      <w:r>
        <w:t xml:space="preserve">Every Intune Configuration Profile targets OrgTree dynamic groups: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Enterprise-wide:</w:t>
      </w:r>
      <w:r>
        <w:t xml:space="preserve"> </w:t>
      </w:r>
      <w:r>
        <w:rPr>
          <w:rStyle w:val="VerbatimChar"/>
        </w:rPr>
        <w:t xml:space="preserve">OrgTree-Enterprise-Devices</w:t>
      </w:r>
      <w:r>
        <w:t xml:space="preserve"> </w:t>
      </w:r>
      <w:r>
        <w:t xml:space="preserve">(all governed</w:t>
      </w:r>
      <w:r>
        <w:t xml:space="preserve"> </w:t>
      </w:r>
      <w:r>
        <w:t xml:space="preserve">devices).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Division-wide:</w:t>
      </w:r>
      <w:r>
        <w:t xml:space="preserve"> </w:t>
      </w:r>
      <w:r>
        <w:rPr>
          <w:rStyle w:val="VerbatimChar"/>
        </w:rPr>
        <w:t xml:space="preserve">OrgTree-IT-Devices</w:t>
      </w:r>
      <w:r>
        <w:t xml:space="preserve">,</w:t>
      </w:r>
      <w:r>
        <w:t xml:space="preserve"> </w:t>
      </w:r>
      <w:r>
        <w:rPr>
          <w:rStyle w:val="VerbatimChar"/>
        </w:rPr>
        <w:t xml:space="preserve">OrgTree-FIN-Devices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Department-scoped:</w:t>
      </w:r>
      <w:r>
        <w:t xml:space="preserve"> </w:t>
      </w:r>
      <w:r>
        <w:rPr>
          <w:rStyle w:val="VerbatimChar"/>
        </w:rPr>
        <w:t xml:space="preserve">OrgTree-IT-INF-Devices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Role-scoped:</w:t>
      </w:r>
      <w:r>
        <w:t xml:space="preserve"> </w:t>
      </w:r>
      <w:r>
        <w:rPr>
          <w:rStyle w:val="VerbatimChar"/>
        </w:rPr>
        <w:t xml:space="preserve">OrgTree-HighRisk-Devices</w:t>
      </w:r>
      <w:r>
        <w:t xml:space="preserve"> </w:t>
      </w:r>
      <w:r>
        <w:t xml:space="preserve">(functional query on</w:t>
      </w:r>
      <w:r>
        <w:t xml:space="preserve"> </w:t>
      </w:r>
      <w:r>
        <w:t xml:space="preserve">device risk score).</w:t>
      </w:r>
    </w:p>
    <w:p>
      <w:pPr>
        <w:pStyle w:val="FirstParagraph"/>
      </w:pPr>
      <w:r>
        <w:t xml:space="preserve">No profile targets</w:t>
      </w:r>
      <w:r>
        <w:t xml:space="preserve"> </w:t>
      </w:r>
      <w:r>
        <w:t xml:space="preserve">“All devices”</w:t>
      </w:r>
      <w:r>
        <w:t xml:space="preserve"> </w:t>
      </w:r>
      <w:r>
        <w:t xml:space="preserve">tenant-wide unless it is the</w:t>
      </w:r>
      <w:r>
        <w:t xml:space="preserve"> </w:t>
      </w:r>
      <w:r>
        <w:t xml:space="preserve">Enterprise baseline. Narrower scoping keeps blast radius small.</w:t>
      </w:r>
    </w:p>
    <w:bookmarkEnd w:id="15"/>
    <w:bookmarkStart w:id="16" w:name="compliance-policies"/>
    <w:p>
      <w:pPr>
        <w:pStyle w:val="Heading3"/>
      </w:pPr>
      <w:r>
        <w:t xml:space="preserve">Compliance policies</w:t>
      </w:r>
    </w:p>
    <w:p>
      <w:pPr>
        <w:pStyle w:val="FirstParagraph"/>
      </w:pPr>
      <w:r>
        <w:t xml:space="preserve">Distinct from configuration profiles, Intune compliance policies</w:t>
      </w:r>
      <w:r>
        <w:t xml:space="preserve"> </w:t>
      </w:r>
      <w:r>
        <w:t xml:space="preserve">evaluate device state and report compliant/noncompliant to Entra ID.</w:t>
      </w:r>
      <w:r>
        <w:t xml:space="preserve"> </w:t>
      </w:r>
      <w:r>
        <w:t xml:space="preserve">Conditional Access then uses that signal.</w:t>
      </w:r>
    </w:p>
    <w:p>
      <w:pPr>
        <w:pStyle w:val="BodyText"/>
      </w:pPr>
      <w:r>
        <w:t xml:space="preserve">UIAO’s compliance catalog (</w:t>
      </w:r>
      <w:r>
        <w:rPr>
          <w:rStyle w:val="VerbatimChar"/>
        </w:rPr>
        <w:t xml:space="preserve">policies/intune/compliance/</w:t>
      </w:r>
      <w:r>
        <w:t xml:space="preserve">) includes:</w:t>
      </w:r>
    </w:p>
    <w:p>
      <w:pPr>
        <w:pStyle w:val="Compact"/>
        <w:numPr>
          <w:ilvl w:val="0"/>
          <w:numId w:val="1003"/>
        </w:numPr>
      </w:pPr>
      <w:r>
        <w:t xml:space="preserve">Minimum OS version</w:t>
      </w:r>
    </w:p>
    <w:p>
      <w:pPr>
        <w:pStyle w:val="Compact"/>
        <w:numPr>
          <w:ilvl w:val="0"/>
          <w:numId w:val="1003"/>
        </w:numPr>
      </w:pPr>
      <w:r>
        <w:t xml:space="preserve">Disk encryption required (BitLocker)</w:t>
      </w:r>
    </w:p>
    <w:p>
      <w:pPr>
        <w:pStyle w:val="Compact"/>
        <w:numPr>
          <w:ilvl w:val="0"/>
          <w:numId w:val="1003"/>
        </w:numPr>
      </w:pPr>
      <w:r>
        <w:t xml:space="preserve">Firewall on</w:t>
      </w:r>
    </w:p>
    <w:p>
      <w:pPr>
        <w:pStyle w:val="Compact"/>
        <w:numPr>
          <w:ilvl w:val="0"/>
          <w:numId w:val="1003"/>
        </w:numPr>
      </w:pPr>
      <w:r>
        <w:t xml:space="preserve">Defender real-time protection on</w:t>
      </w:r>
    </w:p>
    <w:p>
      <w:pPr>
        <w:pStyle w:val="Compact"/>
        <w:numPr>
          <w:ilvl w:val="0"/>
          <w:numId w:val="1003"/>
        </w:numPr>
      </w:pPr>
      <w:r>
        <w:t xml:space="preserve">Device health attestation passed</w:t>
      </w:r>
    </w:p>
    <w:p>
      <w:pPr>
        <w:pStyle w:val="Compact"/>
        <w:numPr>
          <w:ilvl w:val="0"/>
          <w:numId w:val="1003"/>
        </w:numPr>
      </w:pPr>
      <w:r>
        <w:t xml:space="preserve">Specific required apps installed</w:t>
      </w:r>
    </w:p>
    <w:p>
      <w:pPr>
        <w:pStyle w:val="Compact"/>
        <w:numPr>
          <w:ilvl w:val="0"/>
          <w:numId w:val="1003"/>
        </w:numPr>
      </w:pPr>
      <w:r>
        <w:t xml:space="preserve">Specific prohibited apps absent</w:t>
      </w:r>
    </w:p>
    <w:p>
      <w:pPr>
        <w:pStyle w:val="FirstParagraph"/>
      </w:pPr>
      <w:r>
        <w:t xml:space="preserve">Each policy is OrgPath-scoped and evaluates on a schedule. Noncompliant</w:t>
      </w:r>
      <w:r>
        <w:t xml:space="preserve"> </w:t>
      </w:r>
      <w:r>
        <w:t xml:space="preserve">devices are evicted from the</w:t>
      </w:r>
      <w:r>
        <w:t xml:space="preserve"> </w:t>
      </w:r>
      <w:r>
        <w:rPr>
          <w:rStyle w:val="VerbatimChar"/>
        </w:rPr>
        <w:t xml:space="preserve">OrgTree-Compliant-Devices</w:t>
      </w:r>
      <w:r>
        <w:t xml:space="preserve"> </w:t>
      </w:r>
      <w:r>
        <w:t xml:space="preserve">dynamic group,</w:t>
      </w:r>
      <w:r>
        <w:t xml:space="preserve"> </w:t>
      </w:r>
      <w:r>
        <w:t xml:space="preserve">which is the CA signal for downstream enforcement.</w:t>
      </w:r>
    </w:p>
    <w:bookmarkEnd w:id="16"/>
    <w:bookmarkEnd w:id="17"/>
    <w:bookmarkStart w:id="21" w:name="conditional-access-the-access-gate"/>
    <w:p>
      <w:pPr>
        <w:pStyle w:val="Heading2"/>
      </w:pPr>
      <w:r>
        <w:t xml:space="preserve">Conditional Access — the access gate</w:t>
      </w:r>
    </w:p>
    <w:p>
      <w:pPr>
        <w:pStyle w:val="FirstParagraph"/>
      </w:pPr>
      <w:r>
        <w:t xml:space="preserve">Conditional Access is how UIAO replaces the perimeter-based authority</w:t>
      </w:r>
      <w:r>
        <w:t xml:space="preserve"> </w:t>
      </w:r>
      <w:r>
        <w:t xml:space="preserve">that GPOs inherited from network segmentation. CA policies target</w:t>
      </w:r>
      <w:r>
        <w:t xml:space="preserve"> </w:t>
      </w:r>
      <w:r>
        <w:t xml:space="preserve">OrgTree groups, evaluate signals (device compliance, risk score,</w:t>
      </w:r>
      <w:r>
        <w:t xml:space="preserve"> </w:t>
      </w:r>
      <w:r>
        <w:t xml:space="preserve">location, session age), and enforce controls (MFA, block, session</w:t>
      </w:r>
      <w:r>
        <w:t xml:space="preserve"> </w:t>
      </w:r>
      <w:r>
        <w:t xml:space="preserve">limits).</w:t>
      </w:r>
    </w:p>
    <w:bookmarkStart w:id="18" w:name="the-uiao-ca-policy-library"/>
    <w:p>
      <w:pPr>
        <w:pStyle w:val="Heading3"/>
      </w:pPr>
      <w:r>
        <w:t xml:space="preserve">The UIAO CA policy library</w:t>
      </w:r>
    </w:p>
    <w:p>
      <w:pPr>
        <w:pStyle w:val="FirstParagraph"/>
      </w:pPr>
      <w:r>
        <w:t xml:space="preserve">The Posted Conditional Access Policy Library (9,650 words) enumerates</w:t>
      </w:r>
      <w:r>
        <w:t xml:space="preserve"> </w:t>
      </w:r>
      <w:r>
        <w:t xml:space="preserve">~40 baseline policies, which UIAO canonicalises in</w:t>
      </w:r>
      <w:r>
        <w:t xml:space="preserve"> </w:t>
      </w:r>
      <w:r>
        <w:rPr>
          <w:rStyle w:val="VerbatimChar"/>
        </w:rPr>
        <w:t xml:space="preserve">policies/conditional-access/</w:t>
      </w:r>
      <w:r>
        <w:t xml:space="preserve"> </w:t>
      </w:r>
      <w:r>
        <w:t xml:space="preserve">under manifests like:</w:t>
      </w:r>
    </w:p>
    <w:p>
      <w:pPr>
        <w:pStyle w:val="SourceCode"/>
      </w:pPr>
      <w:r>
        <w:rPr>
          <w:rStyle w:val="FunctionTok"/>
        </w:rPr>
        <w:t xml:space="preserve">policy_id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CA-100-Enterprise-MFA</w:t>
      </w:r>
      <w:r>
        <w:br/>
      </w:r>
      <w:r>
        <w:rPr>
          <w:rStyle w:val="FunctionTok"/>
        </w:rPr>
        <w:t xml:space="preserve">display_name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"CA-100 · Enterprise · Require MFA for all users"</w:t>
      </w:r>
      <w:r>
        <w:br/>
      </w:r>
      <w:r>
        <w:rPr>
          <w:rStyle w:val="FunctionTok"/>
        </w:rPr>
        <w:t xml:space="preserve">state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enabled</w:t>
      </w:r>
      <w:r>
        <w:br/>
      </w:r>
      <w:r>
        <w:rPr>
          <w:rStyle w:val="FunctionTok"/>
        </w:rPr>
        <w:t xml:space="preserve">conditions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users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include_groups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OrgTree-Enterprise-Users</w:t>
      </w:r>
      <w:r>
        <w:rPr>
          <w:rStyle w:val="KeywordTok"/>
        </w:rPr>
        <w:t xml:space="preserve">]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exclude_groups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OrgTree-BreakGlass-Users</w:t>
      </w:r>
      <w:r>
        <w:rPr>
          <w:rStyle w:val="KeywordTok"/>
        </w:rPr>
        <w:t xml:space="preserve">]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applications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include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all-cloud-apps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exclude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scuba-assessment-apps</w:t>
      </w:r>
      <w:r>
        <w:rPr>
          <w:rStyle w:val="KeywordTok"/>
        </w:rPr>
        <w:t xml:space="preserve">]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client_app_types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browser</w:t>
      </w:r>
      <w:r>
        <w:rPr>
          <w:rStyle w:val="KeywordTok"/>
        </w:rPr>
        <w:t xml:space="preserve">,</w:t>
      </w:r>
      <w:r>
        <w:rPr>
          <w:rStyle w:val="AttributeTok"/>
        </w:rPr>
        <w:t xml:space="preserve"> mobileAppsAndDesktopClients</w:t>
      </w:r>
      <w:r>
        <w:rPr>
          <w:rStyle w:val="KeywordTok"/>
        </w:rPr>
        <w:t xml:space="preserve">]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sign_in_risk_levels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[]</w:t>
      </w:r>
      <w:r>
        <w:br/>
      </w:r>
      <w:r>
        <w:rPr>
          <w:rStyle w:val="FunctionTok"/>
        </w:rPr>
        <w:t xml:space="preserve">grant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controls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require_mfa</w:t>
      </w:r>
      <w:r>
        <w:rPr>
          <w:rStyle w:val="KeywordTok"/>
        </w:rPr>
        <w:t xml:space="preserve">]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operator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AND</w:t>
      </w:r>
      <w:r>
        <w:br/>
      </w:r>
      <w:r>
        <w:rPr>
          <w:rStyle w:val="FunctionTok"/>
        </w:rPr>
        <w:t xml:space="preserve">session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sign_in_frequency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12h</w:t>
      </w:r>
      <w:r>
        <w:br/>
      </w:r>
      <w:r>
        <w:rPr>
          <w:rStyle w:val="FunctionTok"/>
        </w:rPr>
        <w:t xml:space="preserve">provenance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canon_source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docs/customer-documents/compliance/policy-libraries/conditional-access.qmd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derived_from_baseline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Microsoft-CA-Baseline-v2024-Q2</w:t>
      </w:r>
    </w:p>
    <w:bookmarkEnd w:id="18"/>
    <w:bookmarkStart w:id="19" w:name="canonical-policy-numbering"/>
    <w:p>
      <w:pPr>
        <w:pStyle w:val="Heading3"/>
      </w:pPr>
      <w:r>
        <w:t xml:space="preserve">Canonical policy numbering</w:t>
      </w:r>
    </w:p>
    <w:p>
      <w:pPr>
        <w:pStyle w:val="FirstParagraph"/>
      </w:pPr>
      <w:r>
        <w:t xml:space="preserve">The library follows a numbering convention that maps intent to scope: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Range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CA-000–099</w:t>
            </w:r>
          </w:p>
        </w:tc>
        <w:tc>
          <w:tcPr/>
          <w:p>
            <w:pPr>
              <w:pStyle w:val="Compact"/>
            </w:pPr>
            <w:r>
              <w:t xml:space="preserve">Foundational / break-glass / emergency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CA-100–199</w:t>
            </w:r>
          </w:p>
        </w:tc>
        <w:tc>
          <w:tcPr/>
          <w:p>
            <w:pPr>
              <w:pStyle w:val="Compact"/>
            </w:pPr>
            <w:r>
              <w:t xml:space="preserve">Enterprise baseline (all users)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CA-200–299</w:t>
            </w:r>
          </w:p>
        </w:tc>
        <w:tc>
          <w:tcPr/>
          <w:p>
            <w:pPr>
              <w:pStyle w:val="Compact"/>
            </w:pPr>
            <w:r>
              <w:t xml:space="preserve">Division-scoped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CA-300–399</w:t>
            </w:r>
          </w:p>
        </w:tc>
        <w:tc>
          <w:tcPr/>
          <w:p>
            <w:pPr>
              <w:pStyle w:val="Compact"/>
            </w:pPr>
            <w:r>
              <w:t xml:space="preserve">Department-scoped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CA-400–499</w:t>
            </w:r>
          </w:p>
        </w:tc>
        <w:tc>
          <w:tcPr/>
          <w:p>
            <w:pPr>
              <w:pStyle w:val="Compact"/>
            </w:pPr>
            <w:r>
              <w:t xml:space="preserve">Role-scoped (executive, admin, high-risk)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CA-500–599</w:t>
            </w:r>
          </w:p>
        </w:tc>
        <w:tc>
          <w:tcPr/>
          <w:p>
            <w:pPr>
              <w:pStyle w:val="Compact"/>
            </w:pPr>
            <w:r>
              <w:t xml:space="preserve">Workload-specific (M365, SharePoint, custom apps)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CA-900–999</w:t>
            </w:r>
          </w:p>
        </w:tc>
        <w:tc>
          <w:tcPr/>
          <w:p>
            <w:pPr>
              <w:pStyle w:val="Compact"/>
            </w:pPr>
            <w:r>
              <w:t xml:space="preserve">Reserved — experimental / pilot</w:t>
            </w:r>
          </w:p>
        </w:tc>
      </w:tr>
    </w:tbl>
    <w:p>
      <w:pPr>
        <w:pStyle w:val="BodyText"/>
      </w:pPr>
      <w:r>
        <w:t xml:space="preserve">Adding a new policy picks the next open number in the right range;</w:t>
      </w:r>
      <w:r>
        <w:t xml:space="preserve"> </w:t>
      </w:r>
      <w:r>
        <w:t xml:space="preserve">every policy has a short, human-readable display name that begins</w:t>
      </w:r>
      <w:r>
        <w:t xml:space="preserve"> </w:t>
      </w:r>
      <w:r>
        <w:t xml:space="preserve">with its number.</w:t>
      </w:r>
    </w:p>
    <w:bookmarkEnd w:id="19"/>
    <w:bookmarkStart w:id="20" w:name="block-vs-require-the-policy-discipline"/>
    <w:p>
      <w:pPr>
        <w:pStyle w:val="Heading3"/>
      </w:pPr>
      <w:r>
        <w:t xml:space="preserve">Block vs require — the policy discipline</w:t>
      </w:r>
    </w:p>
    <w:p>
      <w:pPr>
        <w:pStyle w:val="FirstParagraph"/>
      </w:pPr>
      <w:r>
        <w:t xml:space="preserve">UIAO policies lean heavily on</w:t>
      </w:r>
      <w:r>
        <w:t xml:space="preserve"> </w:t>
      </w:r>
      <w:r>
        <w:t xml:space="preserve">“require”</w:t>
      </w:r>
      <w:r>
        <w:t xml:space="preserve"> </w:t>
      </w:r>
      <w:r>
        <w:t xml:space="preserve">controls rather than</w:t>
      </w:r>
      <w:r>
        <w:t xml:space="preserve"> </w:t>
      </w:r>
      <w:r>
        <w:t xml:space="preserve">“block”</w:t>
      </w:r>
      <w:r>
        <w:t xml:space="preserve"> </w:t>
      </w:r>
      <w:r>
        <w:t xml:space="preserve">controls. The governance rationale: a block policy with a bad rule</w:t>
      </w:r>
      <w:r>
        <w:t xml:space="preserve"> </w:t>
      </w:r>
      <w:r>
        <w:t xml:space="preserve">locks users out; a require policy with a bad rule requires a step</w:t>
      </w:r>
      <w:r>
        <w:t xml:space="preserve"> </w:t>
      </w:r>
      <w:r>
        <w:t xml:space="preserve">that can be fixed. Block policies exist only for clear-cut deny cases</w:t>
      </w:r>
      <w:r>
        <w:t xml:space="preserve"> </w:t>
      </w:r>
      <w:r>
        <w:t xml:space="preserve">(legacy auth, high-risk sign-ins, impossible-travel). Everything else</w:t>
      </w:r>
      <w:r>
        <w:t xml:space="preserve"> </w:t>
      </w:r>
      <w:r>
        <w:t xml:space="preserve">is a require (MFA, compliant device, session lifetime).</w:t>
      </w:r>
    </w:p>
    <w:bookmarkEnd w:id="20"/>
    <w:bookmarkEnd w:id="21"/>
    <w:bookmarkStart w:id="24" w:name="Xabb1578e3046d4abf112e2e0ecb714acfbc450b"/>
    <w:p>
      <w:pPr>
        <w:pStyle w:val="Heading2"/>
      </w:pPr>
      <w:r>
        <w:t xml:space="preserve">Azure Arc + Guest Configuration — the server equivalent</w:t>
      </w:r>
    </w:p>
    <w:p>
      <w:pPr>
        <w:pStyle w:val="FirstParagraph"/>
      </w:pPr>
      <w:r>
        <w:t xml:space="preserve">Windows Server policy — AD-managed registry settings, service states,</w:t>
      </w:r>
      <w:r>
        <w:t xml:space="preserve"> </w:t>
      </w:r>
      <w:r>
        <w:t xml:space="preserve">installed features — migrates to</w:t>
      </w:r>
      <w:r>
        <w:t xml:space="preserve"> </w:t>
      </w:r>
      <w:r>
        <w:rPr>
          <w:b/>
          <w:bCs/>
        </w:rPr>
        <w:t xml:space="preserve">Azure Arc Guest Configuration</w:t>
      </w:r>
      <w:r>
        <w:t xml:space="preserve">.</w:t>
      </w:r>
      <w:r>
        <w:t xml:space="preserve"> </w:t>
      </w:r>
      <w:r>
        <w:t xml:space="preserve">Arc projects on-prem servers into Azure; Guest Configuration applies</w:t>
      </w:r>
      <w:r>
        <w:t xml:space="preserve"> </w:t>
      </w:r>
      <w:r>
        <w:t xml:space="preserve">policy via DSC; Azure Policy governs assignment.</w:t>
      </w:r>
    </w:p>
    <w:bookmarkStart w:id="22" w:name="uiao-arc-policy-library"/>
    <w:p>
      <w:pPr>
        <w:pStyle w:val="Heading3"/>
      </w:pPr>
      <w:r>
        <w:t xml:space="preserve">UIAO Arc Policy Library</w:t>
      </w:r>
    </w:p>
    <w:p>
      <w:pPr>
        <w:pStyle w:val="FirstParagraph"/>
      </w:pPr>
      <w:r>
        <w:t xml:space="preserve">Policies live in</w:t>
      </w:r>
      <w:r>
        <w:t xml:space="preserve"> </w:t>
      </w:r>
      <w:r>
        <w:rPr>
          <w:rStyle w:val="VerbatimChar"/>
        </w:rPr>
        <w:t xml:space="preserve">policies/azure-arc/</w:t>
      </w:r>
      <w:r>
        <w:t xml:space="preserve"> </w:t>
      </w:r>
      <w:r>
        <w:t xml:space="preserve">and look like:</w:t>
      </w:r>
    </w:p>
    <w:p>
      <w:pPr>
        <w:pStyle w:val="SourceCode"/>
      </w:pPr>
      <w:r>
        <w:rPr>
          <w:rStyle w:val="FunctionTok"/>
        </w:rPr>
        <w:t xml:space="preserve">policy_id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ARC-SEC-TLS-v1</w:t>
      </w:r>
      <w:r>
        <w:br/>
      </w:r>
      <w:r>
        <w:rPr>
          <w:rStyle w:val="FunctionTok"/>
        </w:rPr>
        <w:t xml:space="preserve">display_name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"ARC-SEC-TLS · Disable TLS 1.0/1.1 on Arc-projected servers"</w:t>
      </w:r>
      <w:r>
        <w:br/>
      </w:r>
      <w:r>
        <w:rPr>
          <w:rStyle w:val="FunctionTok"/>
        </w:rPr>
        <w:t xml:space="preserve">mode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GuestConfiguration</w:t>
      </w:r>
      <w:r>
        <w:br/>
      </w:r>
      <w:r>
        <w:rPr>
          <w:rStyle w:val="FunctionTok"/>
        </w:rPr>
        <w:t xml:space="preserve">parameters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audit_if_not_exists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enforce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scope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include_tags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DeviceRole=AppServer</w:t>
      </w:r>
      <w:r>
        <w:rPr>
          <w:rStyle w:val="KeywordTok"/>
        </w:rPr>
        <w:t xml:space="preserve">,</w:t>
      </w:r>
      <w:r>
        <w:rPr>
          <w:rStyle w:val="AttributeTok"/>
        </w:rPr>
        <w:t xml:space="preserve"> DeviceRole=GitServer</w:t>
      </w:r>
      <w:r>
        <w:rPr>
          <w:rStyle w:val="KeywordTok"/>
        </w:rPr>
        <w:t xml:space="preserve">]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exclude_tags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Lifecycle=Decommissioning</w:t>
      </w:r>
      <w:r>
        <w:rPr>
          <w:rStyle w:val="KeywordTok"/>
        </w:rPr>
        <w:t xml:space="preserve">]</w:t>
      </w:r>
      <w:r>
        <w:br/>
      </w:r>
      <w:r>
        <w:rPr>
          <w:rStyle w:val="FunctionTok"/>
        </w:rPr>
        <w:t xml:space="preserve">configuration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setting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HKLM:/System/CurrentControlSet/Control/SecurityProviders/SCHANNEL/Protocols/TLS 1.0/Server/Enabled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value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setting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HKLM:/System/CurrentControlSet/Control/SecurityProviders/SCHANNEL/Protocols/TLS 1.1/Server/Enabled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value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FunctionTok"/>
        </w:rPr>
        <w:t xml:space="preserve">provenance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derives_from_gpos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{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guid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"{a7d2-...}"</w:t>
      </w:r>
      <w:r>
        <w:rPr>
          <w:rStyle w:val="KeywordTok"/>
        </w:rPr>
        <w:t xml:space="preserve">,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gpo_name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"Server TLS Hardening"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}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canon_source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docs/customer-documents/compliance/policy-libraries/azure-arc.qmd</w:t>
      </w:r>
    </w:p>
    <w:bookmarkEnd w:id="22"/>
    <w:bookmarkStart w:id="23" w:name="targeting-via-azure-tags"/>
    <w:p>
      <w:pPr>
        <w:pStyle w:val="Heading3"/>
      </w:pPr>
      <w:r>
        <w:t xml:space="preserve">Targeting via Azure tags</w:t>
      </w:r>
    </w:p>
    <w:p>
      <w:pPr>
        <w:pStyle w:val="FirstParagraph"/>
      </w:pPr>
      <w:r>
        <w:t xml:space="preserve">Arc policy targeting uses Azure resource tags, which UIAO keeps in</w:t>
      </w:r>
      <w:r>
        <w:t xml:space="preserve"> </w:t>
      </w:r>
      <w:r>
        <w:t xml:space="preserve">sync with OrgPath. A server tagged</w:t>
      </w:r>
      <w:r>
        <w:t xml:space="preserve"> </w:t>
      </w:r>
      <w:r>
        <w:rPr>
          <w:rStyle w:val="VerbatimChar"/>
        </w:rPr>
        <w:t xml:space="preserve">OrgPath=ORG-IT-INF-PLATFORM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DeviceRole=GitServer</w:t>
      </w:r>
      <w:r>
        <w:t xml:space="preserve"> </w:t>
      </w:r>
      <w:r>
        <w:t xml:space="preserve">picks up every policy whose</w:t>
      </w:r>
      <w:r>
        <w:t xml:space="preserve"> </w:t>
      </w:r>
      <w:r>
        <w:rPr>
          <w:rStyle w:val="VerbatimChar"/>
        </w:rPr>
        <w:t xml:space="preserve">include_tags</w:t>
      </w:r>
      <w:r>
        <w:t xml:space="preserve"> </w:t>
      </w:r>
      <w:r>
        <w:t xml:space="preserve">match. The tag sync is a MOD_M-monitored job; if an Arc-projected</w:t>
      </w:r>
      <w:r>
        <w:t xml:space="preserve"> </w:t>
      </w:r>
      <w:r>
        <w:t xml:space="preserve">server’s tag drifts from the Entra device’s OrgPath, drift opens a</w:t>
      </w:r>
      <w:r>
        <w:t xml:space="preserve"> </w:t>
      </w:r>
      <w:r>
        <w:t xml:space="preserve">ticket.</w:t>
      </w:r>
    </w:p>
    <w:bookmarkEnd w:id="23"/>
    <w:bookmarkEnd w:id="24"/>
    <w:bookmarkStart w:id="25" w:name="the-policy-delivery-pipeline"/>
    <w:p>
      <w:pPr>
        <w:pStyle w:val="Heading2"/>
      </w:pPr>
      <w:r>
        <w:t xml:space="preserve">The policy-delivery pipeline</w:t>
      </w:r>
    </w:p>
    <w:p>
      <w:pPr>
        <w:pStyle w:val="FirstParagraph"/>
      </w:pPr>
      <w:r>
        <w:t xml:space="preserve">Policies flow through the same three-stage pipeline as identity</w:t>
      </w:r>
      <w:r>
        <w:t xml:space="preserve"> </w:t>
      </w:r>
      <w:r>
        <w:t xml:space="preserve">changes (Chapter 03):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Analyze.</w:t>
      </w:r>
      <w:r>
        <w:t xml:space="preserve"> </w:t>
      </w:r>
      <w:r>
        <w:t xml:space="preserve">Plan stage reads the Gitea</w:t>
      </w:r>
      <w:r>
        <w:t xml:space="preserve"> </w:t>
      </w:r>
      <w:r>
        <w:rPr>
          <w:rStyle w:val="VerbatimChar"/>
        </w:rPr>
        <w:t xml:space="preserve">policies/</w:t>
      </w:r>
      <w:r>
        <w:t xml:space="preserve"> </w:t>
      </w:r>
      <w:r>
        <w:t xml:space="preserve">tree, compares</w:t>
      </w:r>
      <w:r>
        <w:t xml:space="preserve"> </w:t>
      </w:r>
      <w:r>
        <w:t xml:space="preserve">to the live Intune/CA/Arc state via Graph/ARM, produces a diff.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Plan.</w:t>
      </w:r>
      <w:r>
        <w:t xml:space="preserve"> </w:t>
      </w:r>
      <w:r>
        <w:t xml:space="preserve">Propose creations, updates, and retirements. Each action</w:t>
      </w:r>
      <w:r>
        <w:t xml:space="preserve"> </w:t>
      </w:r>
      <w:r>
        <w:t xml:space="preserve">targets a single policy. Canonical action types include</w:t>
      </w:r>
      <w:r>
        <w:t xml:space="preserve"> </w:t>
      </w:r>
      <w:r>
        <w:rPr>
          <w:rStyle w:val="VerbatimChar"/>
        </w:rPr>
        <w:t xml:space="preserve">create-intune-configuration-profile</w:t>
      </w:r>
      <w:r>
        <w:t xml:space="preserve">,</w:t>
      </w:r>
      <w:r>
        <w:t xml:space="preserve"> </w:t>
      </w:r>
      <w:r>
        <w:rPr>
          <w:rStyle w:val="VerbatimChar"/>
        </w:rPr>
        <w:t xml:space="preserve">update-ca-policy</w:t>
      </w:r>
      <w:r>
        <w:t xml:space="preserve">,</w:t>
      </w:r>
      <w:r>
        <w:t xml:space="preserve"> </w:t>
      </w:r>
      <w:r>
        <w:rPr>
          <w:rStyle w:val="VerbatimChar"/>
        </w:rPr>
        <w:t xml:space="preserve">assign-arc-guest-configuration</w:t>
      </w:r>
      <w:r>
        <w:t xml:space="preserve">,</w:t>
      </w:r>
      <w:r>
        <w:t xml:space="preserve"> </w:t>
      </w:r>
      <w:r>
        <w:rPr>
          <w:rStyle w:val="VerbatimChar"/>
        </w:rPr>
        <w:t xml:space="preserve">retire-policy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Deliver.</w:t>
      </w:r>
      <w:r>
        <w:t xml:space="preserve"> </w:t>
      </w:r>
      <w:r>
        <w:t xml:space="preserve">Execution Substrate invokes Graph + ARM; verifies</w:t>
      </w:r>
      <w:r>
        <w:t xml:space="preserve"> </w:t>
      </w:r>
      <w:r>
        <w:t xml:space="preserve">each policy’s actual-after state; records result.</w:t>
      </w:r>
    </w:p>
    <w:p>
      <w:pPr>
        <w:pStyle w:val="FirstParagraph"/>
      </w:pPr>
      <w:r>
        <w:t xml:space="preserve">A typical policy-run plan has tens-to-hundreds of actions. The</w:t>
      </w:r>
      <w:r>
        <w:t xml:space="preserve"> </w:t>
      </w:r>
      <w:r>
        <w:t xml:space="preserve">evidence packet contains the full Graph snapshot of every policy</w:t>
      </w:r>
      <w:r>
        <w:t xml:space="preserve"> </w:t>
      </w:r>
      <w:r>
        <w:t xml:space="preserve">after delivery.</w:t>
      </w:r>
    </w:p>
    <w:bookmarkEnd w:id="25"/>
    <w:bookmarkStart w:id="26" w:name="conflict-resolution"/>
    <w:p>
      <w:pPr>
        <w:pStyle w:val="Heading2"/>
      </w:pPr>
      <w:r>
        <w:t xml:space="preserve">Conflict resolution</w:t>
      </w:r>
    </w:p>
    <w:p>
      <w:pPr>
        <w:pStyle w:val="FirstParagraph"/>
      </w:pPr>
      <w:r>
        <w:t xml:space="preserve">When two Intune profiles target the same device with conflicting</w:t>
      </w:r>
      <w:r>
        <w:t xml:space="preserve"> </w:t>
      </w:r>
      <w:r>
        <w:t xml:space="preserve">settings, Intune applies a documented precedence. UIAO enforces a</w:t>
      </w:r>
      <w:r>
        <w:t xml:space="preserve"> </w:t>
      </w:r>
      <w:r>
        <w:rPr>
          <w:b/>
          <w:bCs/>
        </w:rPr>
        <w:t xml:space="preserve">canonical precedence order</w:t>
      </w:r>
      <w:r>
        <w:t xml:space="preserve"> </w:t>
      </w:r>
      <w:r>
        <w:t xml:space="preserve">to keep conflicts predictable:</w:t>
      </w:r>
    </w:p>
    <w:p>
      <w:pPr>
        <w:pStyle w:val="Compact"/>
        <w:numPr>
          <w:ilvl w:val="0"/>
          <w:numId w:val="1005"/>
        </w:numPr>
      </w:pPr>
      <w:r>
        <w:t xml:space="preserve">Enterprise baseline profiles (</w:t>
      </w:r>
      <w:r>
        <w:rPr>
          <w:rStyle w:val="VerbatimChar"/>
        </w:rPr>
        <w:t xml:space="preserve">OrgTree-Enterprise-*</w:t>
      </w:r>
      <w:r>
        <w:t xml:space="preserve">)</w:t>
      </w:r>
    </w:p>
    <w:p>
      <w:pPr>
        <w:pStyle w:val="Compact"/>
        <w:numPr>
          <w:ilvl w:val="0"/>
          <w:numId w:val="1005"/>
        </w:numPr>
      </w:pPr>
      <w:r>
        <w:t xml:space="preserve">Division profiles</w:t>
      </w:r>
    </w:p>
    <w:p>
      <w:pPr>
        <w:pStyle w:val="Compact"/>
        <w:numPr>
          <w:ilvl w:val="0"/>
          <w:numId w:val="1005"/>
        </w:numPr>
      </w:pPr>
      <w:r>
        <w:t xml:space="preserve">Department profiles</w:t>
      </w:r>
    </w:p>
    <w:p>
      <w:pPr>
        <w:pStyle w:val="Compact"/>
        <w:numPr>
          <w:ilvl w:val="0"/>
          <w:numId w:val="1005"/>
        </w:numPr>
      </w:pPr>
      <w:r>
        <w:t xml:space="preserve">Role-scoped profiles</w:t>
      </w:r>
    </w:p>
    <w:p>
      <w:pPr>
        <w:pStyle w:val="Compact"/>
        <w:numPr>
          <w:ilvl w:val="0"/>
          <w:numId w:val="1005"/>
        </w:numPr>
      </w:pPr>
      <w:r>
        <w:t xml:space="preserve">Device-specific profiles (emergency patches)</w:t>
      </w:r>
    </w:p>
    <w:p>
      <w:pPr>
        <w:pStyle w:val="FirstParagraph"/>
      </w:pPr>
      <w:r>
        <w:t xml:space="preserve">Conflicts that would violate this order are flagged at plan-validation</w:t>
      </w:r>
      <w:r>
        <w:t xml:space="preserve"> </w:t>
      </w:r>
      <w:r>
        <w:t xml:space="preserve">time — the plan fails until the conflict is resolved in canon.</w:t>
      </w:r>
    </w:p>
    <w:p>
      <w:pPr>
        <w:pStyle w:val="BodyText"/>
      </w:pPr>
      <w:r>
        <w:t xml:space="preserve">For CA, UIAO enforces a similar order and prohibits policies that</w:t>
      </w:r>
      <w:r>
        <w:t xml:space="preserve"> </w:t>
      </w:r>
      <w:r>
        <w:rPr>
          <w:rStyle w:val="VerbatimChar"/>
        </w:rPr>
        <w:t xml:space="preserve">require</w:t>
      </w:r>
      <w:r>
        <w:t xml:space="preserve"> </w:t>
      </w:r>
      <w:r>
        <w:t xml:space="preserve">at a broader scope while</w:t>
      </w:r>
      <w:r>
        <w:t xml:space="preserve"> </w:t>
      </w:r>
      <w:r>
        <w:rPr>
          <w:rStyle w:val="VerbatimChar"/>
        </w:rPr>
        <w:t xml:space="preserve">blocking</w:t>
      </w:r>
      <w:r>
        <w:t xml:space="preserve"> </w:t>
      </w:r>
      <w:r>
        <w:t xml:space="preserve">at a narrower scope (a</w:t>
      </w:r>
      <w:r>
        <w:t xml:space="preserve"> </w:t>
      </w:r>
      <w:r>
        <w:t xml:space="preserve">pattern that produces user-lockouts that are hard to debug).</w:t>
      </w:r>
    </w:p>
    <w:bookmarkEnd w:id="26"/>
    <w:bookmarkStart w:id="27" w:name="break-glass-carve-outs"/>
    <w:p>
      <w:pPr>
        <w:pStyle w:val="Heading2"/>
      </w:pPr>
      <w:r>
        <w:t xml:space="preserve">Break-glass carve-outs</w:t>
      </w:r>
    </w:p>
    <w:p>
      <w:pPr>
        <w:pStyle w:val="FirstParagraph"/>
      </w:pPr>
      <w:r>
        <w:t xml:space="preserve">Every CA policy library includes a standard carve-out pattern:</w:t>
      </w:r>
      <w:r>
        <w:t xml:space="preserve"> </w:t>
      </w:r>
      <w:r>
        <w:rPr>
          <w:rStyle w:val="VerbatimChar"/>
        </w:rPr>
        <w:t xml:space="preserve">OrgTree-BreakGlass-Users</w:t>
      </w:r>
      <w:r>
        <w:t xml:space="preserve">. The break-glass dynamic group contains two</w:t>
      </w:r>
      <w:r>
        <w:t xml:space="preserve"> </w:t>
      </w:r>
      <w:r>
        <w:t xml:space="preserve">to five emergency admin accounts that are explicitly excluded from</w:t>
      </w:r>
      <w:r>
        <w:t xml:space="preserve"> </w:t>
      </w:r>
      <w:r>
        <w:t xml:space="preserve">block-class CA policies. The accounts are stored in a PAM vault</w:t>
      </w:r>
      <w:r>
        <w:t xml:space="preserve"> </w:t>
      </w:r>
      <w:r>
        <w:t xml:space="preserve">(CyberArk adapter), used only in documented emergencies, and audited</w:t>
      </w:r>
      <w:r>
        <w:t xml:space="preserve"> </w:t>
      </w:r>
      <w:r>
        <w:t xml:space="preserve">weekly against MOD_M.</w:t>
      </w:r>
    </w:p>
    <w:p>
      <w:pPr>
        <w:pStyle w:val="BodyText"/>
      </w:pPr>
      <w:r>
        <w:t xml:space="preserve">Break-glass carve-outs are not</w:t>
      </w:r>
      <w:r>
        <w:t xml:space="preserve"> </w:t>
      </w:r>
      <w:r>
        <w:t xml:space="preserve">“backdoors.”</w:t>
      </w:r>
      <w:r>
        <w:t xml:space="preserve"> </w:t>
      </w:r>
      <w:r>
        <w:t xml:space="preserve">They are documented,</w:t>
      </w:r>
      <w:r>
        <w:t xml:space="preserve"> </w:t>
      </w:r>
      <w:r>
        <w:t xml:space="preserve">monitored, reviewed, and revoked on a schedule. Every use opens an</w:t>
      </w:r>
      <w:r>
        <w:t xml:space="preserve"> </w:t>
      </w:r>
      <w:r>
        <w:t xml:space="preserve">incident ticket.</w:t>
      </w:r>
    </w:p>
    <w:bookmarkEnd w:id="27"/>
    <w:bookmarkStart w:id="28" w:name="testing"/>
    <w:p>
      <w:pPr>
        <w:pStyle w:val="Heading2"/>
      </w:pPr>
      <w:r>
        <w:t xml:space="preserve">Testing</w:t>
      </w:r>
    </w:p>
    <w:p>
      <w:pPr>
        <w:pStyle w:val="FirstParagraph"/>
      </w:pPr>
      <w:r>
        <w:t xml:space="preserve">Policy changes are tested in four places before reaching production: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Canon validation</w:t>
      </w:r>
      <w:r>
        <w:t xml:space="preserve"> </w:t>
      </w:r>
      <w:r>
        <w:t xml:space="preserve">— MOD_J runs schema + boundary + conflict</w:t>
      </w:r>
      <w:r>
        <w:t xml:space="preserve"> </w:t>
      </w:r>
      <w:r>
        <w:t xml:space="preserve">checks at plan validation.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Mock tenant</w:t>
      </w:r>
      <w:r>
        <w:t xml:space="preserve"> </w:t>
      </w:r>
      <w:r>
        <w:t xml:space="preserve">— MOD_O’s enforcement test harness applies the</w:t>
      </w:r>
      <w:r>
        <w:t xml:space="preserve"> </w:t>
      </w:r>
      <w:r>
        <w:t xml:space="preserve">proposed policy to a simulated tenant; Pester tests assert the</w:t>
      </w:r>
      <w:r>
        <w:t xml:space="preserve"> </w:t>
      </w:r>
      <w:r>
        <w:t xml:space="preserve">expected effects.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Pilot group</w:t>
      </w:r>
      <w:r>
        <w:t xml:space="preserve"> </w:t>
      </w:r>
      <w:r>
        <w:t xml:space="preserve">— a</w:t>
      </w:r>
      <w:r>
        <w:t xml:space="preserve"> </w:t>
      </w:r>
      <w:r>
        <w:rPr>
          <w:rStyle w:val="VerbatimChar"/>
        </w:rPr>
        <w:t xml:space="preserve">OrgTree-Pilot-Users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OrgTree-Pilot-Devices</w:t>
      </w:r>
      <w:r>
        <w:t xml:space="preserve"> </w:t>
      </w:r>
      <w:r>
        <w:t xml:space="preserve">group gets the policy first for N days; drift engine watches.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Production rollout</w:t>
      </w:r>
      <w:r>
        <w:t xml:space="preserve"> </w:t>
      </w:r>
      <w:r>
        <w:t xml:space="preserve">— general availability follows a clean</w:t>
      </w:r>
      <w:r>
        <w:t xml:space="preserve"> </w:t>
      </w:r>
      <w:r>
        <w:t xml:space="preserve">pilot with zero drift findings.</w:t>
      </w:r>
    </w:p>
    <w:p>
      <w:pPr>
        <w:pStyle w:val="FirstParagraph"/>
      </w:pPr>
      <w:r>
        <w:t xml:space="preserve">No policy reaches production without all four. The pipeline enforces</w:t>
      </w:r>
      <w:r>
        <w:t xml:space="preserve"> </w:t>
      </w:r>
      <w:r>
        <w:t xml:space="preserve">this; policies that skip stages are rejected.</w:t>
      </w:r>
    </w:p>
    <w:bookmarkEnd w:id="28"/>
    <w:bookmarkStart w:id="29" w:name="retiring-legacy-gpos"/>
    <w:p>
      <w:pPr>
        <w:pStyle w:val="Heading2"/>
      </w:pPr>
      <w:r>
        <w:t xml:space="preserve">Retiring legacy GPOs</w:t>
      </w:r>
    </w:p>
    <w:p>
      <w:pPr>
        <w:pStyle w:val="FirstParagraph"/>
      </w:pPr>
      <w:r>
        <w:t xml:space="preserve">The endgame: every user account is Intune-managed, every server is</w:t>
      </w:r>
      <w:r>
        <w:t xml:space="preserve"> </w:t>
      </w:r>
      <w:r>
        <w:t xml:space="preserve">Arc-projected, every CA policy is OrgPath-scoped. Legacy GPOs can</w:t>
      </w:r>
      <w:r>
        <w:t xml:space="preserve"> </w:t>
      </w:r>
      <w:r>
        <w:t xml:space="preserve">then be retired.</w:t>
      </w:r>
    </w:p>
    <w:p>
      <w:pPr>
        <w:pStyle w:val="BodyText"/>
      </w:pPr>
      <w:r>
        <w:t xml:space="preserve">The retirement is done in phases matching the migration (Chapter 04):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Phase 1.</w:t>
      </w:r>
      <w:r>
        <w:t xml:space="preserve"> </w:t>
      </w:r>
      <w:r>
        <w:t xml:space="preserve">Every GPO flagged as</w:t>
      </w:r>
      <w:r>
        <w:t xml:space="preserve"> </w:t>
      </w:r>
      <w:r>
        <w:t xml:space="preserve">“migrated”</w:t>
      </w:r>
      <w:r>
        <w:t xml:space="preserve"> </w:t>
      </w:r>
      <w:r>
        <w:t xml:space="preserve">in the canon has its</w:t>
      </w:r>
      <w:r>
        <w:t xml:space="preserve"> </w:t>
      </w:r>
      <w:r>
        <w:t xml:space="preserve">link removed from the legacy OU (the settings are now delivered by</w:t>
      </w:r>
      <w:r>
        <w:t xml:space="preserve"> </w:t>
      </w:r>
      <w:r>
        <w:t xml:space="preserve">Intune/CA/Arc).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Phase 2.</w:t>
      </w:r>
      <w:r>
        <w:t xml:space="preserve"> </w:t>
      </w:r>
      <w:r>
        <w:t xml:space="preserve">Unlinked GPOs are marked</w:t>
      </w:r>
      <w:r>
        <w:t xml:space="preserve"> </w:t>
      </w:r>
      <w:r>
        <w:rPr>
          <w:rStyle w:val="VerbatimChar"/>
        </w:rPr>
        <w:t xml:space="preserve">deprecated: true</w:t>
      </w:r>
      <w:r>
        <w:t xml:space="preserve"> </w:t>
      </w:r>
      <w:r>
        <w:t xml:space="preserve">and kept</w:t>
      </w:r>
      <w:r>
        <w:t xml:space="preserve"> </w:t>
      </w:r>
      <w:r>
        <w:t xml:space="preserve">for 90 days as a rollback window.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Phase 3.</w:t>
      </w:r>
      <w:r>
        <w:t xml:space="preserve"> </w:t>
      </w:r>
      <w:r>
        <w:t xml:space="preserve">After 90 days of zero drift findings in the modern</w:t>
      </w:r>
      <w:r>
        <w:t xml:space="preserve"> </w:t>
      </w:r>
      <w:r>
        <w:t xml:space="preserve">surface, GPOs are deleted via a governed deprecation PR.</w:t>
      </w:r>
    </w:p>
    <w:p>
      <w:pPr>
        <w:pStyle w:val="FirstParagraph"/>
      </w:pPr>
      <w:r>
        <w:t xml:space="preserve">The last GPO to go is typically a password-policy GPO that legacy</w:t>
      </w:r>
      <w:r>
        <w:t xml:space="preserve"> </w:t>
      </w:r>
      <w:r>
        <w:t xml:space="preserve">Kerberos-bound apps depend on. That GPO retires only when Chapter 06</w:t>
      </w:r>
      <w:r>
        <w:t xml:space="preserve"> </w:t>
      </w:r>
      <w:r>
        <w:t xml:space="preserve">+ Chapter 07 complete the compute migration.</w:t>
      </w:r>
    </w:p>
    <w:bookmarkEnd w:id="29"/>
    <w:bookmarkStart w:id="30" w:name="verification"/>
    <w:p>
      <w:pPr>
        <w:pStyle w:val="Heading2"/>
      </w:pPr>
      <w:r>
        <w:t xml:space="preserve">Verification</w:t>
      </w:r>
    </w:p>
    <w:p>
      <w:pPr>
        <w:pStyle w:val="FirstParagraph"/>
      </w:pPr>
      <w:r>
        <w:t xml:space="preserve">Policy migration passes when:</w:t>
      </w:r>
    </w:p>
    <w:p>
      <w:pPr>
        <w:pStyle w:val="Compact"/>
        <w:numPr>
          <w:ilvl w:val="0"/>
          <w:numId w:val="1008"/>
        </w:numPr>
      </w:pPr>
      <w:r>
        <w:t xml:space="preserve">Every Intune Configuration Profile, Compliance Policy, CA</w:t>
      </w:r>
      <w:r>
        <w:t xml:space="preserve"> </w:t>
      </w:r>
      <w:r>
        <w:t xml:space="preserve">policy, and Arc Guest Configuration derives from a canonical</w:t>
      </w:r>
      <w:r>
        <w:t xml:space="preserve"> </w:t>
      </w:r>
      <w:r>
        <w:t xml:space="preserve">manifest in</w:t>
      </w:r>
      <w:r>
        <w:t xml:space="preserve"> </w:t>
      </w:r>
      <w:r>
        <w:rPr>
          <w:rStyle w:val="VerbatimChar"/>
        </w:rPr>
        <w:t xml:space="preserve">policies/</w:t>
      </w:r>
      <w:r>
        <w:t xml:space="preserve"> </w:t>
      </w:r>
      <w:r>
        <w:t xml:space="preserve">in Gitea.</w:t>
      </w:r>
    </w:p>
    <w:p>
      <w:pPr>
        <w:pStyle w:val="Compact"/>
        <w:numPr>
          <w:ilvl w:val="0"/>
          <w:numId w:val="1009"/>
        </w:numPr>
      </w:pPr>
      <w:r>
        <w:t xml:space="preserve">Every manifest targets OrgTree-scoped dynamic groups (no</w:t>
      </w:r>
      <w:r>
        <w:t xml:space="preserve"> </w:t>
      </w:r>
      <w:r>
        <w:t xml:space="preserve">manually-curated groups).</w:t>
      </w:r>
    </w:p>
    <w:p>
      <w:pPr>
        <w:pStyle w:val="Compact"/>
        <w:numPr>
          <w:ilvl w:val="0"/>
          <w:numId w:val="1010"/>
        </w:numPr>
      </w:pPr>
      <w:r>
        <w:t xml:space="preserve">The legacy forest has zero linked GPOs other than deprecated</w:t>
      </w:r>
      <w:r>
        <w:t xml:space="preserve"> </w:t>
      </w:r>
      <w:r>
        <w:t xml:space="preserve">ones within the 90-day window.</w:t>
      </w:r>
    </w:p>
    <w:p>
      <w:pPr>
        <w:pStyle w:val="Compact"/>
        <w:numPr>
          <w:ilvl w:val="0"/>
          <w:numId w:val="1011"/>
        </w:numPr>
      </w:pPr>
      <w:r>
        <w:t xml:space="preserve">MOD_M reports zero drift for every policy.</w:t>
      </w:r>
    </w:p>
    <w:p>
      <w:pPr>
        <w:pStyle w:val="Compact"/>
        <w:numPr>
          <w:ilvl w:val="0"/>
          <w:numId w:val="1012"/>
        </w:numPr>
      </w:pPr>
      <w:r>
        <w:t xml:space="preserve">The nightly assessment → plan run produces a zero-action plan</w:t>
      </w:r>
      <w:r>
        <w:t xml:space="preserve"> </w:t>
      </w:r>
      <w:r>
        <w:t xml:space="preserve">for the</w:t>
      </w:r>
      <w:r>
        <w:t xml:space="preserve"> </w:t>
      </w:r>
      <w:r>
        <w:rPr>
          <w:rStyle w:val="VerbatimChar"/>
        </w:rPr>
        <w:t xml:space="preserve">policies/</w:t>
      </w:r>
      <w:r>
        <w:t xml:space="preserve"> </w:t>
      </w:r>
      <w:r>
        <w:t xml:space="preserve">tree.</w:t>
      </w:r>
    </w:p>
    <w:bookmarkEnd w:id="30"/>
    <w:bookmarkStart w:id="35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Conditional Access Policy Library (9,650 words) ·</w:t>
      </w:r>
      <w:r>
        <w:t xml:space="preserve"> </w:t>
      </w:r>
      <w:r>
        <w:t xml:space="preserve">UIAO Intune Policy Templates (11,190 words) · UIAO Azure Arc Policy</w:t>
      </w:r>
      <w:r>
        <w:t xml:space="preserve"> </w:t>
      </w:r>
      <w:r>
        <w:t xml:space="preserve">Library (6,244 words).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Customer Documents:</w:t>
      </w:r>
      <w:r>
        <w:t xml:space="preserve"> </w:t>
      </w:r>
      <w:hyperlink r:id="rId31">
        <w:r>
          <w:rPr>
            <w:rStyle w:val="Hyperlink"/>
          </w:rPr>
          <w:t xml:space="preserve">compliance/policy-libraries</w:t>
        </w:r>
      </w:hyperlink>
      <w:r>
        <w:t xml:space="preserve">;</w:t>
      </w:r>
      <w:r>
        <w:t xml:space="preserve"> </w:t>
      </w:r>
      <w:hyperlink r:id="rId32">
        <w:r>
          <w:rPr>
            <w:rStyle w:val="Hyperlink"/>
          </w:rPr>
          <w:t xml:space="preserve">adapter-specs/intune</w:t>
        </w:r>
      </w:hyperlink>
      <w:r>
        <w:t xml:space="preserve">;</w:t>
      </w:r>
      <w:r>
        <w:t xml:space="preserve"> </w:t>
      </w:r>
      <w:hyperlink r:id="rId33">
        <w:r>
          <w:rPr>
            <w:rStyle w:val="Hyperlink"/>
          </w:rPr>
          <w:t xml:space="preserve">adapter-specs/entra-id</w:t>
        </w:r>
      </w:hyperlink>
      <w:r>
        <w:t xml:space="preserve">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MOD_K Enforcement Decision Trees (policy conflict rules);</w:t>
      </w:r>
      <w:r>
        <w:t xml:space="preserve"> </w:t>
      </w:r>
      <w:r>
        <w:t xml:space="preserve">MOD_O Mock Tenant Test Harness.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34">
        <w:r>
          <w:rPr>
            <w:rStyle w:val="Hyperlink"/>
          </w:rPr>
          <w:t xml:space="preserve">Chapter 06 — Services: DNS, DHCP, IPAM in Hybrid Cloud</w:t>
        </w:r>
      </w:hyperlink>
    </w:p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33" Target="../../adapter-specs/entra-id/entra-id.html" TargetMode="External" /><Relationship Type="http://schemas.openxmlformats.org/officeDocument/2006/relationships/hyperlink" Id="rId32" Target="../../adapter-specs/intune/intune.html" TargetMode="External" /><Relationship Type="http://schemas.openxmlformats.org/officeDocument/2006/relationships/hyperlink" Id="rId31" Target="../../compliance/policy-libraries/index.html" TargetMode="External" /><Relationship Type="http://schemas.openxmlformats.org/officeDocument/2006/relationships/hyperlink" Id="rId34" Target="06-network-services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../../adapter-specs/entra-id/entra-id.html" TargetMode="External" /><Relationship Type="http://schemas.openxmlformats.org/officeDocument/2006/relationships/hyperlink" Id="rId32" Target="../../adapter-specs/intune/intune.html" TargetMode="External" /><Relationship Type="http://schemas.openxmlformats.org/officeDocument/2006/relationships/hyperlink" Id="rId31" Target="../../compliance/policy-libraries/index.html" TargetMode="External" /><Relationship Type="http://schemas.openxmlformats.org/officeDocument/2006/relationships/hyperlink" Id="rId34" Target="06-network-service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05 — Policy: GPO → Intune + Conditional Access</dc:title>
  <dc:creator/>
  <cp:keywords/>
  <dcterms:created xsi:type="dcterms:W3CDTF">2026-05-06T19:44:53Z</dcterms:created>
  <dcterms:modified xsi:type="dcterms:W3CDTF">2026-05-06T19:44:53Z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Policy authors · security engineers · endpoint admins</vt:lpwstr>
  </property>
  <property fmtid="{D5CDD505-2E9C-101B-9397-08002B2CF9AE}" pid="4" name="biblio-config">
    <vt:lpwstr>True</vt:lpwstr>
  </property>
  <property fmtid="{D5CDD505-2E9C-101B-9397-08002B2CF9AE}" pid="5" name="canon-source">
    <vt:lpwstr>Posted Conditional Access Policy Library + Intune Policy Templates + Azure Arc Policy Library</vt:lpwstr>
  </property>
  <property fmtid="{D5CDD505-2E9C-101B-9397-08002B2CF9AE}" pid="6" name="chapter">
    <vt:lpwstr>5</vt:lpwstr>
  </property>
  <property fmtid="{D5CDD505-2E9C-101B-9397-08002B2CF9AE}" pid="7" name="date">
    <vt:lpwstr>2026-04-24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client-server-to-hybrid-cloud</vt:lpwstr>
  </property>
  <property fmtid="{D5CDD505-2E9C-101B-9397-08002B2CF9AE}" pid="15" name="subtitle">
    <vt:lpwstr>How twenty-five years of Group Policy becomes Intune configuration profiles, compliance policies, and Conditional Access</vt:lpwstr>
  </property>
  <property fmtid="{D5CDD505-2E9C-101B-9397-08002B2CF9AE}" pid="16" name="toc-title">
    <vt:lpwstr>Table of contents</vt:lpwstr>
  </property>
</Properties>
</file>