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06 — Services: DNS, DHCP, IPAM in the Hybrid-Cloud Model</w:t>
      </w:r>
    </w:p>
    <w:p>
      <w:pPr>
        <w:pStyle w:val="Subtitle"/>
      </w:pPr>
      <w:r>
        <w:t xml:space="preserve">AD-integrated DNS → Azure Private Resolver · AD DHCP → governed hybrid DHCP · ad-hoc IPAM → Infoblox/BlueCat adapters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6" w:name="X99da47d78c9d6faa3a9458d04295ddaeee060e4"/>
    <w:p>
      <w:pPr>
        <w:pStyle w:val="Heading1"/>
      </w:pPr>
      <w:r>
        <w:t xml:space="preserve">Chapter 06 — Services: DNS, DHCP, IPAM in the Hybrid-Cloud Model</w:t>
      </w:r>
    </w:p>
    <w:p>
      <w:pPr>
        <w:pStyle w:val="FirstParagraph"/>
      </w:pPr>
      <w:r>
        <w:rPr>
          <w:i/>
          <w:iCs/>
        </w:rPr>
        <w:t xml:space="preserve">The silent infrastructure layer that AD was governing without anyone noticing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6.1 — Hybrid resolution topology: on-prem namespace, Private Resolver, Private DNS zone, and IPAM as single source of truth</w:t>
            </w:r>
          </w:p>
        </w:tc>
      </w:tr>
    </w:tbl>
    <w:p>
      <w:pPr>
        <w:pStyle w:val="ImageCaption"/>
      </w:pPr>
      <w:r>
        <w:t xml:space="preserve">Figure 6.1 — Hybrid resolution topology: on-prem namespace, Private Resolver, Private DNS zone, and IPAM as single source of truth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services claim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DNS, DHCP, and IPAM are the three network services that federal</w:t>
            </w:r>
            <w:r>
              <w:t xml:space="preserve"> </w:t>
            </w:r>
            <w:r>
              <w:t xml:space="preserve">agencies almost always defer when they</w:t>
            </w:r>
            <w:r>
              <w:t xml:space="preserve"> </w:t>
            </w:r>
            <w:r>
              <w:t xml:space="preserve">“modernize AD.”</w:t>
            </w:r>
            <w:r>
              <w:t xml:space="preserve"> </w:t>
            </w:r>
            <w:r>
              <w:t xml:space="preserve">The assumption</w:t>
            </w:r>
            <w:r>
              <w:t xml:space="preserve"> </w:t>
            </w:r>
            <w:r>
              <w:t xml:space="preserve">is that because these services still work, they don’t need to move.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That assumption is wrong. AD-integrated DNS, AD-joined DHCP servers,</w:t>
            </w:r>
            <w:r>
              <w:t xml:space="preserve"> </w:t>
            </w:r>
            <w:r>
              <w:t xml:space="preserve">and informal IPAM are the three most common sources of post-migration</w:t>
            </w:r>
            <w:r>
              <w:t xml:space="preserve"> </w:t>
            </w:r>
            <w:r>
              <w:t xml:space="preserve">governance regression. They look fine from the outside and are</w:t>
            </w:r>
            <w:r>
              <w:t xml:space="preserve"> </w:t>
            </w:r>
            <w:r>
              <w:t xml:space="preserve">silently broken on the inside. This chapter fixes that.</w:t>
            </w:r>
          </w:p>
          <w:p/>
        </w:tc>
      </w:tr>
    </w:tbl>
    <w:bookmarkStart w:id="12" w:name="why-these-three-why-together"/>
    <w:p>
      <w:pPr>
        <w:pStyle w:val="Heading2"/>
      </w:pPr>
      <w:r>
        <w:t xml:space="preserve">Why these three, why together</w:t>
      </w:r>
    </w:p>
    <w:p>
      <w:pPr>
        <w:pStyle w:val="FirstParagraph"/>
      </w:pPr>
      <w:r>
        <w:t xml:space="preserve">DNS, DHCP, and IPAM form a single addressing + resolution governance</w:t>
      </w:r>
      <w:r>
        <w:t xml:space="preserve"> </w:t>
      </w:r>
      <w:r>
        <w:t xml:space="preserve">surface. Treating them separately is one of the most common</w:t>
      </w:r>
      <w:r>
        <w:t xml:space="preserve"> </w:t>
      </w:r>
      <w:r>
        <w:t xml:space="preserve">migration mistakes: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DNS</w:t>
      </w:r>
      <w:r>
        <w:t xml:space="preserve"> </w:t>
      </w:r>
      <w:r>
        <w:t xml:space="preserve">translates names to addresses. Federated agencies rely on</w:t>
      </w:r>
      <w:r>
        <w:t xml:space="preserve"> </w:t>
      </w:r>
      <w:r>
        <w:t xml:space="preserve">AD-integrated zones that replicate as part of AD and inherit AD’s</w:t>
      </w:r>
      <w:r>
        <w:t xml:space="preserve"> </w:t>
      </w:r>
      <w:r>
        <w:t xml:space="preserve">access model.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DHCP</w:t>
      </w:r>
      <w:r>
        <w:t xml:space="preserve"> </w:t>
      </w:r>
      <w:r>
        <w:t xml:space="preserve">assigns addresses. AD-joined Microsoft DHCP servers</w:t>
      </w:r>
      <w:r>
        <w:t xml:space="preserve"> </w:t>
      </w:r>
      <w:r>
        <w:t xml:space="preserve">authenticate against AD and are authorized in the forest.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IPAM</w:t>
      </w:r>
      <w:r>
        <w:t xml:space="preserve"> </w:t>
      </w:r>
      <w:r>
        <w:t xml:space="preserve">tracks what address ranges exist, who owns them, and which</w:t>
      </w:r>
      <w:r>
        <w:t xml:space="preserve"> </w:t>
      </w:r>
      <w:r>
        <w:t xml:space="preserve">records point where. Without IPAM, DNS and DHCP silently drift.</w:t>
      </w:r>
    </w:p>
    <w:p>
      <w:pPr>
        <w:pStyle w:val="FirstParagraph"/>
      </w:pPr>
      <w:r>
        <w:t xml:space="preserve">A migration that moves DNS but leaves AD-joined DHCP in place produces</w:t>
      </w:r>
      <w:r>
        <w:t xml:space="preserve"> </w:t>
      </w:r>
      <w:r>
        <w:t xml:space="preserve">a hybrid in which addresses are assigned by one authority and resolved</w:t>
      </w:r>
      <w:r>
        <w:t xml:space="preserve"> </w:t>
      </w:r>
      <w:r>
        <w:t xml:space="preserve">by another. A migration that moves DNS + DHCP but leaves IPAM</w:t>
      </w:r>
      <w:r>
        <w:t xml:space="preserve"> </w:t>
      </w:r>
      <w:r>
        <w:t xml:space="preserve">informal (spreadsheet, wiki, nobody-owns-it) produces silent conflicts</w:t>
      </w:r>
      <w:r>
        <w:t xml:space="preserve"> </w:t>
      </w:r>
      <w:r>
        <w:t xml:space="preserve">and ghost records.</w:t>
      </w:r>
    </w:p>
    <w:p>
      <w:pPr>
        <w:pStyle w:val="BodyText"/>
      </w:pPr>
      <w:r>
        <w:t xml:space="preserve">UIAO treats all three as one governance domain, with three matched</w:t>
      </w:r>
      <w:r>
        <w:t xml:space="preserve"> </w:t>
      </w:r>
      <w:r>
        <w:t xml:space="preserve">adapters (DM_015 DNS, DM_016 DHCP, DM_010 IPAM) and one canonical</w:t>
      </w:r>
      <w:r>
        <w:t xml:space="preserve"> </w:t>
      </w:r>
      <w:r>
        <w:t xml:space="preserve">policy — addressing governance is owned by IPAM; DNS + DHCP derive</w:t>
      </w:r>
      <w:r>
        <w:t xml:space="preserve"> </w:t>
      </w:r>
      <w:r>
        <w:t xml:space="preserve">from it.</w:t>
      </w:r>
    </w:p>
    <w:bookmarkEnd w:id="12"/>
    <w:bookmarkStart w:id="18" w:name="dns-ad-integrated-azure-private-resolver"/>
    <w:p>
      <w:pPr>
        <w:pStyle w:val="Heading2"/>
      </w:pPr>
      <w:r>
        <w:t xml:space="preserve">DNS — AD-integrated → Azure Private Resolver</w:t>
      </w:r>
    </w:p>
    <w:bookmarkStart w:id="13" w:name="the-current-state-problem"/>
    <w:p>
      <w:pPr>
        <w:pStyle w:val="Heading3"/>
      </w:pPr>
      <w:r>
        <w:t xml:space="preserve">The current-state problem</w:t>
      </w:r>
    </w:p>
    <w:p>
      <w:pPr>
        <w:pStyle w:val="FirstParagraph"/>
      </w:pPr>
      <w:r>
        <w:t xml:space="preserve">AD-integrated DNS zones live inside the AD replication graph. Every</w:t>
      </w:r>
      <w:r>
        <w:t xml:space="preserve"> </w:t>
      </w:r>
      <w:r>
        <w:t xml:space="preserve">DC is a DNS server; every zone update propagates via AD replication;</w:t>
      </w:r>
      <w:r>
        <w:t xml:space="preserve"> </w:t>
      </w:r>
      <w:r>
        <w:t xml:space="preserve">zone ACLs use AD security groups. This means:</w:t>
      </w:r>
    </w:p>
    <w:p>
      <w:pPr>
        <w:pStyle w:val="Compact"/>
        <w:numPr>
          <w:ilvl w:val="0"/>
          <w:numId w:val="1002"/>
        </w:numPr>
      </w:pPr>
      <w:r>
        <w:t xml:space="preserve">Every DC is in the name-resolution trust path.</w:t>
      </w:r>
    </w:p>
    <w:p>
      <w:pPr>
        <w:pStyle w:val="Compact"/>
        <w:numPr>
          <w:ilvl w:val="0"/>
          <w:numId w:val="1002"/>
        </w:numPr>
      </w:pPr>
      <w:r>
        <w:t xml:space="preserve">Retiring AD requires moving DNS</w:t>
      </w:r>
      <w:r>
        <w:t xml:space="preserve"> </w:t>
      </w:r>
      <w:r>
        <w:rPr>
          <w:i/>
          <w:iCs/>
        </w:rPr>
        <w:t xml:space="preserve">first</w:t>
      </w:r>
      <w:r>
        <w:t xml:space="preserve"> </w:t>
      </w:r>
      <w:r>
        <w:t xml:space="preserve">or accepting a multi-week</w:t>
      </w:r>
      <w:r>
        <w:t xml:space="preserve"> </w:t>
      </w:r>
      <w:r>
        <w:t xml:space="preserve">name-resolution outage window.</w:t>
      </w:r>
    </w:p>
    <w:p>
      <w:pPr>
        <w:pStyle w:val="Compact"/>
        <w:numPr>
          <w:ilvl w:val="0"/>
          <w:numId w:val="1002"/>
        </w:numPr>
      </w:pPr>
      <w:r>
        <w:t xml:space="preserve">Zones that have accumulated stale records (from decommissioned</w:t>
      </w:r>
      <w:r>
        <w:t xml:space="preserve"> </w:t>
      </w:r>
      <w:r>
        <w:t xml:space="preserve">computer objects) cannot be cleaned up without AD-side coordination.</w:t>
      </w:r>
    </w:p>
    <w:p>
      <w:pPr>
        <w:pStyle w:val="Compact"/>
        <w:numPr>
          <w:ilvl w:val="0"/>
          <w:numId w:val="1002"/>
        </w:numPr>
      </w:pPr>
      <w:r>
        <w:t xml:space="preserve">External apps that depend on DNS-over-LDAPS enumeration (some</w:t>
      </w:r>
      <w:r>
        <w:t xml:space="preserve"> </w:t>
      </w:r>
      <w:r>
        <w:t xml:space="preserve">monitoring tools, some PKI clients) will stop working at AD</w:t>
      </w:r>
      <w:r>
        <w:t xml:space="preserve"> </w:t>
      </w:r>
      <w:r>
        <w:t xml:space="preserve">retirement.</w:t>
      </w:r>
    </w:p>
    <w:bookmarkEnd w:id="13"/>
    <w:bookmarkStart w:id="14" w:name="the-target-architecture"/>
    <w:p>
      <w:pPr>
        <w:pStyle w:val="Heading3"/>
      </w:pPr>
      <w:r>
        <w:t xml:space="preserve">The target architecture</w:t>
      </w:r>
    </w:p>
    <w:p>
      <w:pPr>
        <w:pStyle w:val="FirstParagraph"/>
      </w:pPr>
      <w:r>
        <w:t xml:space="preserve">UIAO migrates DNS in a three-layer pattern documented in the Posted</w:t>
      </w:r>
      <w:r>
        <w:t xml:space="preserve"> </w:t>
      </w:r>
      <w:r>
        <w:t xml:space="preserve">DNS Modernization Guide (11,245 words):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Layer</w:t>
            </w:r>
          </w:p>
        </w:tc>
        <w:tc>
          <w:tcPr/>
          <w:p>
            <w:pPr>
              <w:pStyle w:val="Compact"/>
            </w:pPr>
            <w:r>
              <w:t xml:space="preserve">Target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Authoritative on-prem</w:t>
            </w:r>
          </w:p>
        </w:tc>
        <w:tc>
          <w:tcPr/>
          <w:p>
            <w:pPr>
              <w:pStyle w:val="Compact"/>
            </w:pPr>
            <w:r>
              <w:t xml:space="preserve">Azure Private DNS Zone (linked to on-prem resolver)</w:t>
            </w:r>
          </w:p>
        </w:tc>
        <w:tc>
          <w:tcPr/>
          <w:p>
            <w:pPr>
              <w:pStyle w:val="Compact"/>
            </w:pPr>
            <w:r>
              <w:t xml:space="preserve">Canonical records for on-prem namespace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Hybrid resolution</w:t>
            </w:r>
          </w:p>
        </w:tc>
        <w:tc>
          <w:tcPr/>
          <w:p>
            <w:pPr>
              <w:pStyle w:val="Compact"/>
            </w:pPr>
            <w:r>
              <w:t xml:space="preserve">Azure DNS Private Resolver (inbound + outbound endpoints)</w:t>
            </w:r>
          </w:p>
        </w:tc>
        <w:tc>
          <w:tcPr/>
          <w:p>
            <w:pPr>
              <w:pStyle w:val="Compact"/>
            </w:pPr>
            <w:r>
              <w:t xml:space="preserve">Bi-directional name resolution between VNet and on-prem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Authoritative SaaS</w:t>
            </w:r>
          </w:p>
        </w:tc>
        <w:tc>
          <w:tcPr/>
          <w:p>
            <w:pPr>
              <w:pStyle w:val="Compact"/>
            </w:pPr>
            <w:r>
              <w:t xml:space="preserve">Azure Private DNS Zone (private link), Route 53 where needed</w:t>
            </w:r>
          </w:p>
        </w:tc>
        <w:tc>
          <w:tcPr/>
          <w:p>
            <w:pPr>
              <w:pStyle w:val="Compact"/>
            </w:pPr>
            <w:r>
              <w:t xml:space="preserve">Records for M365, Azure services, and SaaS endpoints</w:t>
            </w:r>
          </w:p>
        </w:tc>
      </w:tr>
    </w:tbl>
    <w:p>
      <w:pPr>
        <w:pStyle w:val="BodyText"/>
      </w:pPr>
      <w:r>
        <w:t xml:space="preserve">Conditional forwarders on remaining on-prem DNS servers point to the</w:t>
      </w:r>
      <w:r>
        <w:t xml:space="preserve"> </w:t>
      </w:r>
      <w:r>
        <w:t xml:space="preserve">Private Resolver’s inbound endpoint. VNet resolution (for Arc-projected</w:t>
      </w:r>
      <w:r>
        <w:t xml:space="preserve"> </w:t>
      </w:r>
      <w:r>
        <w:t xml:space="preserve">servers, for example) points to the Private Resolver’s outbound</w:t>
      </w:r>
      <w:r>
        <w:t xml:space="preserve"> </w:t>
      </w:r>
      <w:r>
        <w:t xml:space="preserve">endpoint, which forwards to the on-prem authoritative layer.</w:t>
      </w:r>
    </w:p>
    <w:bookmarkEnd w:id="14"/>
    <w:bookmarkStart w:id="15" w:name="the-dns-adapter-dm_015-to-author"/>
    <w:p>
      <w:pPr>
        <w:pStyle w:val="Heading3"/>
      </w:pPr>
      <w:r>
        <w:t xml:space="preserve">The DNS adapter (DM_015 — to author)</w:t>
      </w:r>
    </w:p>
    <w:p>
      <w:pPr>
        <w:pStyle w:val="FirstParagraph"/>
      </w:pPr>
      <w:r>
        <w:t xml:space="preserve">Because the DM_015 DNS adapter is a registry gap (Chapter 00</w:t>
      </w:r>
      <w:r>
        <w:t xml:space="preserve"> </w:t>
      </w:r>
      <w:r>
        <w:t xml:space="preserve">identified it), its interface has to be authored as part of</w:t>
      </w:r>
      <w:r>
        <w:t xml:space="preserve"> </w:t>
      </w:r>
      <w:r>
        <w:t xml:space="preserve">modernization. The Posted DNS Modernization Guide is the operational</w:t>
      </w:r>
      <w:r>
        <w:t xml:space="preserve"> </w:t>
      </w:r>
      <w:r>
        <w:t xml:space="preserve">reference implementation the adapter will govern.</w:t>
      </w:r>
    </w:p>
    <w:p>
      <w:pPr>
        <w:pStyle w:val="BodyText"/>
      </w:pPr>
      <w:r>
        <w:t xml:space="preserve">DM_015’s interface contract: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Discovery.</w:t>
      </w:r>
      <w:r>
        <w:t xml:space="preserve"> </w:t>
      </w:r>
      <w:r>
        <w:t xml:space="preserve">Enumerate zones (AD-integrated and file-backed),</w:t>
      </w:r>
      <w:r>
        <w:t xml:space="preserve"> </w:t>
      </w:r>
      <w:r>
        <w:t xml:space="preserve">records (with age + staleness flag), conditional forwarders,</w:t>
      </w:r>
      <w:r>
        <w:t xml:space="preserve"> </w:t>
      </w:r>
      <w:r>
        <w:t xml:space="preserve">recursion settings.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Risk assessment.</w:t>
      </w:r>
      <w:r>
        <w:t xml:space="preserve"> </w:t>
      </w:r>
      <w:r>
        <w:t xml:space="preserve">Stale records, zones with no identifiable</w:t>
      </w:r>
      <w:r>
        <w:t xml:space="preserve"> </w:t>
      </w:r>
      <w:r>
        <w:t xml:space="preserve">owner, CNAMEs pointing to decommissioned resources.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Target architecture proposal.</w:t>
      </w:r>
      <w:r>
        <w:t xml:space="preserve"> </w:t>
      </w:r>
      <w:r>
        <w:t xml:space="preserve">For each zone, propose</w:t>
      </w:r>
      <w:r>
        <w:t xml:space="preserve"> </w:t>
      </w:r>
      <w:r>
        <w:t xml:space="preserve">authoritative target (Private DNS vs keep-on-prem vs retire) and</w:t>
      </w:r>
      <w:r>
        <w:t xml:space="preserve"> </w:t>
      </w:r>
      <w:r>
        <w:t xml:space="preserve">produce a migration plan.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Migration path.</w:t>
      </w:r>
      <w:r>
        <w:t xml:space="preserve"> </w:t>
      </w:r>
      <w:r>
        <w:t xml:space="preserve">Phased cutover of zones, one zone at a time,</w:t>
      </w:r>
      <w:r>
        <w:t xml:space="preserve"> </w:t>
      </w:r>
      <w:r>
        <w:t xml:space="preserve">with rollback per zone.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Validation.</w:t>
      </w:r>
      <w:r>
        <w:t xml:space="preserve"> </w:t>
      </w:r>
      <w:r>
        <w:t xml:space="preserve">Record-by-record comparison after cutover; TTL</w:t>
      </w:r>
      <w:r>
        <w:t xml:space="preserve"> </w:t>
      </w:r>
      <w:r>
        <w:t xml:space="preserve">normalization; CRL-distribution-point health.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Rollback.</w:t>
      </w:r>
      <w:r>
        <w:t xml:space="preserve"> </w:t>
      </w:r>
      <w:r>
        <w:t xml:space="preserve">Re-enable AD-integrated zone; restore conditional</w:t>
      </w:r>
      <w:r>
        <w:t xml:space="preserve"> </w:t>
      </w:r>
      <w:r>
        <w:t xml:space="preserve">forwarders to prior state.</w:t>
      </w:r>
    </w:p>
    <w:bookmarkEnd w:id="15"/>
    <w:bookmarkStart w:id="16" w:name="orgpath-scoping-of-dns-records"/>
    <w:p>
      <w:pPr>
        <w:pStyle w:val="Heading3"/>
      </w:pPr>
      <w:r>
        <w:t xml:space="preserve">OrgPath-scoping of DNS records</w:t>
      </w:r>
    </w:p>
    <w:p>
      <w:pPr>
        <w:pStyle w:val="FirstParagraph"/>
      </w:pPr>
      <w:r>
        <w:t xml:space="preserve">UIAO tags DNS records with the OrgPath of the owning object. A record</w:t>
      </w:r>
      <w:r>
        <w:t xml:space="preserve"> </w:t>
      </w:r>
      <w:r>
        <w:t xml:space="preserve">for</w:t>
      </w:r>
      <w:r>
        <w:t xml:space="preserve"> </w:t>
      </w:r>
      <w:r>
        <w:rPr>
          <w:rStyle w:val="VerbatimChar"/>
        </w:rPr>
        <w:t xml:space="preserve">git.iaio.internal</w:t>
      </w:r>
      <w:r>
        <w:t xml:space="preserve"> </w:t>
      </w:r>
      <w:r>
        <w:t xml:space="preserve">that points to the platform server carries</w:t>
      </w:r>
      <w:r>
        <w:t xml:space="preserve"> </w:t>
      </w:r>
      <w:r>
        <w:t xml:space="preserve">an</w:t>
      </w:r>
      <w:r>
        <w:t xml:space="preserve"> </w:t>
      </w:r>
      <w:r>
        <w:rPr>
          <w:rStyle w:val="VerbatimChar"/>
        </w:rPr>
        <w:t xml:space="preserve">OrgPath=ORG-IT-INF-PLATFORM</w:t>
      </w:r>
      <w:r>
        <w:t xml:space="preserve"> </w:t>
      </w:r>
      <w:r>
        <w:t xml:space="preserve">metadata tag in Private DNS. The</w:t>
      </w:r>
      <w:r>
        <w:t xml:space="preserve"> </w:t>
      </w:r>
      <w:r>
        <w:t xml:space="preserve">drift engine uses this to flag records whose owner has been</w:t>
      </w:r>
      <w:r>
        <w:t xml:space="preserve"> </w:t>
      </w:r>
      <w:r>
        <w:t xml:space="preserve">decommissioned — if the Entra device object for</w:t>
      </w:r>
      <w:r>
        <w:t xml:space="preserve"> </w:t>
      </w:r>
      <w:r>
        <w:rPr>
          <w:rStyle w:val="VerbatimChar"/>
        </w:rPr>
        <w:t xml:space="preserve">UIAO-GIT01</w:t>
      </w:r>
      <w:r>
        <w:t xml:space="preserve"> </w:t>
      </w:r>
      <w:r>
        <w:t xml:space="preserve">is</w:t>
      </w:r>
      <w:r>
        <w:t xml:space="preserve"> </w:t>
      </w:r>
      <w:r>
        <w:t xml:space="preserve">removed, but the DNS record still exists, that’s</w:t>
      </w:r>
      <w:r>
        <w:t xml:space="preserve"> </w:t>
      </w:r>
      <w:r>
        <w:rPr>
          <w:b/>
          <w:bCs/>
        </w:rPr>
        <w:t xml:space="preserve">Orphan Drift</w:t>
      </w:r>
      <w:r>
        <w:t xml:space="preserve">.</w:t>
      </w:r>
    </w:p>
    <w:bookmarkEnd w:id="16"/>
    <w:bookmarkStart w:id="17" w:name="migration-phases"/>
    <w:p>
      <w:pPr>
        <w:pStyle w:val="Heading3"/>
      </w:pPr>
      <w:r>
        <w:t xml:space="preserve">Migration phases</w:t>
      </w:r>
    </w:p>
    <w:p>
      <w:pPr>
        <w:pStyle w:val="FirstParagraph"/>
      </w:pPr>
      <w:r>
        <w:t xml:space="preserve">Following MOD_F’s phased pattern: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Assessment.</w:t>
      </w:r>
      <w:r>
        <w:t xml:space="preserve"> </w:t>
      </w:r>
      <w:r>
        <w:t xml:space="preserve">Chapter 02’s Stream 8 (Tier B) produces the full</w:t>
      </w:r>
      <w:r>
        <w:t xml:space="preserve"> </w:t>
      </w:r>
      <w:r>
        <w:t xml:space="preserve">zone + record inventory.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Target proposal.</w:t>
      </w:r>
      <w:r>
        <w:t xml:space="preserve"> </w:t>
      </w:r>
      <w:r>
        <w:t xml:space="preserve">Python analyzer classifies every zone into</w:t>
      </w:r>
      <w:r>
        <w:t xml:space="preserve"> </w:t>
      </w:r>
      <w:r>
        <w:t xml:space="preserve">one of three targets. Steward reviews and adjusts.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Pilot zone.</w:t>
      </w:r>
      <w:r>
        <w:t xml:space="preserve"> </w:t>
      </w:r>
      <w:r>
        <w:t xml:space="preserve">Pick one low-risk zone (often a test or dev</w:t>
      </w:r>
      <w:r>
        <w:t xml:space="preserve"> </w:t>
      </w:r>
      <w:r>
        <w:t xml:space="preserve">zone); migrate; validate for N days.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Zone-by-zone cutover.</w:t>
      </w:r>
      <w:r>
        <w:t xml:space="preserve"> </w:t>
      </w:r>
      <w:r>
        <w:t xml:space="preserve">Phased migration with conditional</w:t>
      </w:r>
      <w:r>
        <w:t xml:space="preserve"> </w:t>
      </w:r>
      <w:r>
        <w:t xml:space="preserve">forwarder updates per zone. Validation gate per zone.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AD-integrated zone retirement.</w:t>
      </w:r>
      <w:r>
        <w:t xml:space="preserve"> </w:t>
      </w:r>
      <w:r>
        <w:t xml:space="preserve">Once all zones are migrated</w:t>
      </w:r>
      <w:r>
        <w:t xml:space="preserve"> </w:t>
      </w:r>
      <w:r>
        <w:t xml:space="preserve">and validated, the AD-integrated zone is deleted.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Steady state.</w:t>
      </w:r>
      <w:r>
        <w:t xml:space="preserve"> </w:t>
      </w:r>
      <w:r>
        <w:t xml:space="preserve">Private Resolver handles all resolution; MOD_M</w:t>
      </w:r>
      <w:r>
        <w:t xml:space="preserve"> </w:t>
      </w:r>
      <w:r>
        <w:t xml:space="preserve">reports zero DNS drift.</w:t>
      </w:r>
    </w:p>
    <w:bookmarkEnd w:id="17"/>
    <w:bookmarkEnd w:id="18"/>
    <w:bookmarkStart w:id="23" w:name="dhcp-ad-joined-governed-hybrid-dhcp"/>
    <w:p>
      <w:pPr>
        <w:pStyle w:val="Heading2"/>
      </w:pPr>
      <w:r>
        <w:t xml:space="preserve">DHCP — AD-joined → governed hybrid DHCP</w:t>
      </w:r>
    </w:p>
    <w:bookmarkStart w:id="19" w:name="the-current-state-problem-1"/>
    <w:p>
      <w:pPr>
        <w:pStyle w:val="Heading3"/>
      </w:pPr>
      <w:r>
        <w:t xml:space="preserve">The current-state problem</w:t>
      </w:r>
    </w:p>
    <w:p>
      <w:pPr>
        <w:pStyle w:val="FirstParagraph"/>
      </w:pPr>
      <w:r>
        <w:t xml:space="preserve">Microsoft DHCP running on AD-joined servers is authenticated by AD.</w:t>
      </w:r>
      <w:r>
        <w:t xml:space="preserve"> </w:t>
      </w:r>
      <w:r>
        <w:t xml:space="preserve">DHCP server authorization lives in the forest. DHCP scopes have</w:t>
      </w:r>
      <w:r>
        <w:t xml:space="preserve"> </w:t>
      </w:r>
      <w:r>
        <w:t xml:space="preserve">reservations keyed to MAC addresses; option sets inherit from server</w:t>
      </w:r>
      <w:r>
        <w:t xml:space="preserve"> </w:t>
      </w:r>
      <w:r>
        <w:t xml:space="preserve">defaults. The usual findings from Stream 9:</w:t>
      </w:r>
    </w:p>
    <w:p>
      <w:pPr>
        <w:pStyle w:val="Compact"/>
        <w:numPr>
          <w:ilvl w:val="0"/>
          <w:numId w:val="1005"/>
        </w:numPr>
      </w:pPr>
      <w:r>
        <w:t xml:space="preserve">Reservations pointing at MAC addresses that haven’t been seen in</w:t>
      </w:r>
      <w:r>
        <w:t xml:space="preserve"> </w:t>
      </w:r>
      <w:r>
        <w:t xml:space="preserve">years.</w:t>
      </w:r>
    </w:p>
    <w:p>
      <w:pPr>
        <w:pStyle w:val="Compact"/>
        <w:numPr>
          <w:ilvl w:val="0"/>
          <w:numId w:val="1005"/>
        </w:numPr>
      </w:pPr>
      <w:r>
        <w:t xml:space="preserve">Option sets that push AD-integrated DNS servers whose IPs will</w:t>
      </w:r>
      <w:r>
        <w:t xml:space="preserve"> </w:t>
      </w:r>
      <w:r>
        <w:t xml:space="preserve">change.</w:t>
      </w:r>
    </w:p>
    <w:p>
      <w:pPr>
        <w:pStyle w:val="Compact"/>
        <w:numPr>
          <w:ilvl w:val="0"/>
          <w:numId w:val="1005"/>
        </w:numPr>
      </w:pPr>
      <w:r>
        <w:t xml:space="preserve">Scopes sized for growth that never happened.</w:t>
      </w:r>
    </w:p>
    <w:p>
      <w:pPr>
        <w:pStyle w:val="Compact"/>
        <w:numPr>
          <w:ilvl w:val="0"/>
          <w:numId w:val="1005"/>
        </w:numPr>
      </w:pPr>
      <w:r>
        <w:t xml:space="preserve">Failover relationships that were configured once and never</w:t>
      </w:r>
      <w:r>
        <w:t xml:space="preserve"> </w:t>
      </w:r>
      <w:r>
        <w:t xml:space="preserve">tested.</w:t>
      </w:r>
    </w:p>
    <w:bookmarkEnd w:id="19"/>
    <w:bookmarkStart w:id="20" w:name="the-target-architecture-1"/>
    <w:p>
      <w:pPr>
        <w:pStyle w:val="Heading3"/>
      </w:pPr>
      <w:r>
        <w:t xml:space="preserve">The target architecture</w:t>
      </w:r>
    </w:p>
    <w:p>
      <w:pPr>
        <w:pStyle w:val="FirstParagraph"/>
      </w:pPr>
      <w:r>
        <w:t xml:space="preserve">DHCP modernization is less dramatic than DNS but no less important.</w:t>
      </w:r>
      <w:r>
        <w:t xml:space="preserve"> </w:t>
      </w:r>
      <w:r>
        <w:t xml:space="preserve">Three variants by environment: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On-prem-heavy environments.</w:t>
      </w:r>
      <w:r>
        <w:t xml:space="preserve"> </w:t>
      </w:r>
      <w:r>
        <w:t xml:space="preserve">Keep DHCP on-prem; decouple from</w:t>
      </w:r>
      <w:r>
        <w:t xml:space="preserve"> </w:t>
      </w:r>
      <w:r>
        <w:t xml:space="preserve">AD (forest authorization removed); re-home to dedicated DHCP hosts</w:t>
      </w:r>
      <w:r>
        <w:t xml:space="preserve"> </w:t>
      </w:r>
      <w:r>
        <w:t xml:space="preserve">governed by UIAO.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Cloud-forward environments.</w:t>
      </w:r>
      <w:r>
        <w:t xml:space="preserve"> </w:t>
      </w:r>
      <w:r>
        <w:t xml:space="preserve">Move DHCP to Azure-native services</w:t>
      </w:r>
      <w:r>
        <w:t xml:space="preserve"> </w:t>
      </w:r>
      <w:r>
        <w:t xml:space="preserve">(Azure VNet DHCP, or third-party virtual appliances like Infoblox</w:t>
      </w:r>
      <w:r>
        <w:t xml:space="preserve"> </w:t>
      </w:r>
      <w:r>
        <w:t xml:space="preserve">IB-Flex running as Arc-projected VMs).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Hybrid environments.</w:t>
      </w:r>
      <w:r>
        <w:t xml:space="preserve"> </w:t>
      </w:r>
      <w:r>
        <w:t xml:space="preserve">Split — on-prem scopes stay on-prem;</w:t>
      </w:r>
      <w:r>
        <w:t xml:space="preserve"> </w:t>
      </w:r>
      <w:r>
        <w:t xml:space="preserve">cloud VNets use Azure-native; all governed via IPAM as single</w:t>
      </w:r>
      <w:r>
        <w:t xml:space="preserve"> </w:t>
      </w:r>
      <w:r>
        <w:t xml:space="preserve">source of truth.</w:t>
      </w:r>
    </w:p>
    <w:bookmarkEnd w:id="20"/>
    <w:bookmarkStart w:id="21" w:name="the-dhcp-adapter-dm_016-to-author"/>
    <w:p>
      <w:pPr>
        <w:pStyle w:val="Heading3"/>
      </w:pPr>
      <w:r>
        <w:t xml:space="preserve">The DHCP adapter (DM_016 — to author)</w:t>
      </w:r>
    </w:p>
    <w:p>
      <w:pPr>
        <w:pStyle w:val="FirstParagraph"/>
      </w:pPr>
      <w:r>
        <w:t xml:space="preserve">Another registry gap. DM_016’s interface mirrors DM_015’s pattern.</w:t>
      </w:r>
      <w:r>
        <w:t xml:space="preserve"> </w:t>
      </w:r>
      <w:r>
        <w:t xml:space="preserve">Key discovery points:</w:t>
      </w:r>
    </w:p>
    <w:p>
      <w:pPr>
        <w:pStyle w:val="Compact"/>
        <w:numPr>
          <w:ilvl w:val="0"/>
          <w:numId w:val="1007"/>
        </w:numPr>
      </w:pPr>
      <w:r>
        <w:t xml:space="preserve">Every DHCP server (regardless of AD-join state).</w:t>
      </w:r>
    </w:p>
    <w:p>
      <w:pPr>
        <w:pStyle w:val="Compact"/>
        <w:numPr>
          <w:ilvl w:val="0"/>
          <w:numId w:val="1007"/>
        </w:numPr>
      </w:pPr>
      <w:r>
        <w:t xml:space="preserve">Every scope — range, subnet mask, exclusion list, lease duration.</w:t>
      </w:r>
    </w:p>
    <w:p>
      <w:pPr>
        <w:pStyle w:val="Compact"/>
        <w:numPr>
          <w:ilvl w:val="0"/>
          <w:numId w:val="1007"/>
        </w:numPr>
      </w:pPr>
      <w:r>
        <w:t xml:space="preserve">Every reservation — MAC, IP, client name, option set.</w:t>
      </w:r>
    </w:p>
    <w:p>
      <w:pPr>
        <w:pStyle w:val="Compact"/>
        <w:numPr>
          <w:ilvl w:val="0"/>
          <w:numId w:val="1007"/>
        </w:numPr>
      </w:pPr>
      <w:r>
        <w:t xml:space="preserve">Every failover relationship — peer, mode, load balancer split,</w:t>
      </w:r>
      <w:r>
        <w:t xml:space="preserve"> </w:t>
      </w:r>
      <w:r>
        <w:t xml:space="preserve">MCLT.</w:t>
      </w:r>
    </w:p>
    <w:p>
      <w:pPr>
        <w:pStyle w:val="Compact"/>
        <w:numPr>
          <w:ilvl w:val="0"/>
          <w:numId w:val="1007"/>
        </w:numPr>
      </w:pPr>
      <w:r>
        <w:t xml:space="preserve">Option sets — especially scope-level DNS server overrides.</w:t>
      </w:r>
    </w:p>
    <w:p>
      <w:pPr>
        <w:pStyle w:val="FirstParagraph"/>
      </w:pPr>
      <w:r>
        <w:t xml:space="preserve">Write methods: add / update / retire scopes + reservations, governed</w:t>
      </w:r>
      <w:r>
        <w:t xml:space="preserve"> </w:t>
      </w:r>
      <w:r>
        <w:t xml:space="preserve">via the plan pipeline.</w:t>
      </w:r>
    </w:p>
    <w:bookmarkEnd w:id="21"/>
    <w:bookmarkStart w:id="22" w:name="orgpath-scoping-of-dhcp"/>
    <w:p>
      <w:pPr>
        <w:pStyle w:val="Heading3"/>
      </w:pPr>
      <w:r>
        <w:t xml:space="preserve">OrgPath-scoping of DHCP</w:t>
      </w:r>
    </w:p>
    <w:p>
      <w:pPr>
        <w:pStyle w:val="FirstParagraph"/>
      </w:pPr>
      <w:r>
        <w:t xml:space="preserve">DHCP scopes are tagged with the OrgPath of the site they serve. A</w:t>
      </w:r>
      <w:r>
        <w:t xml:space="preserve"> </w:t>
      </w:r>
      <w:r>
        <w:t xml:space="preserve">scope for the East Baltimore office carries</w:t>
      </w:r>
      <w:r>
        <w:t xml:space="preserve"> </w:t>
      </w:r>
      <w:r>
        <w:rPr>
          <w:rStyle w:val="VerbatimChar"/>
        </w:rPr>
        <w:t xml:space="preserve">OrgPath=ORG-LOC-EAST-BALTIMORE</w:t>
      </w:r>
      <w:r>
        <w:t xml:space="preserve"> </w:t>
      </w:r>
      <w:r>
        <w:t xml:space="preserve">in its metadata (stored in the</w:t>
      </w:r>
      <w:r>
        <w:t xml:space="preserve"> </w:t>
      </w:r>
      <w:r>
        <w:t xml:space="preserve">UIAO canon, mirrored to DHCP server extension data where supported).</w:t>
      </w:r>
      <w:r>
        <w:t xml:space="preserve"> </w:t>
      </w:r>
      <w:r>
        <w:t xml:space="preserve">This enables drift detection on scope ownership and blast-radius</w:t>
      </w:r>
      <w:r>
        <w:t xml:space="preserve"> </w:t>
      </w:r>
      <w:r>
        <w:t xml:space="preserve">analysis for address-pool changes.</w:t>
      </w:r>
    </w:p>
    <w:bookmarkEnd w:id="22"/>
    <w:bookmarkEnd w:id="23"/>
    <w:bookmarkStart w:id="27" w:name="ipam-informal-governed"/>
    <w:p>
      <w:pPr>
        <w:pStyle w:val="Heading2"/>
      </w:pPr>
      <w:r>
        <w:t xml:space="preserve">IPAM — informal → governed</w:t>
      </w:r>
    </w:p>
    <w:bookmarkStart w:id="24" w:name="the-current-state-problem-2"/>
    <w:p>
      <w:pPr>
        <w:pStyle w:val="Heading3"/>
      </w:pPr>
      <w:r>
        <w:t xml:space="preserve">The current-state problem</w:t>
      </w:r>
    </w:p>
    <w:p>
      <w:pPr>
        <w:pStyle w:val="FirstParagraph"/>
      </w:pPr>
      <w:r>
        <w:t xml:space="preserve">Agencies routinely discover, as part of modernization, that they do</w:t>
      </w:r>
      <w:r>
        <w:t xml:space="preserve"> </w:t>
      </w:r>
      <w:r>
        <w:t xml:space="preserve">not have an IPAM at all. The state is:</w:t>
      </w:r>
    </w:p>
    <w:p>
      <w:pPr>
        <w:pStyle w:val="Compact"/>
        <w:numPr>
          <w:ilvl w:val="0"/>
          <w:numId w:val="1008"/>
        </w:numPr>
      </w:pPr>
      <w:r>
        <w:t xml:space="preserve">A shared spreadsheet maintained by one person.</w:t>
      </w:r>
    </w:p>
    <w:p>
      <w:pPr>
        <w:pStyle w:val="Compact"/>
        <w:numPr>
          <w:ilvl w:val="0"/>
          <w:numId w:val="1008"/>
        </w:numPr>
      </w:pPr>
      <w:r>
        <w:t xml:space="preserve">A wiki page whose last edit was 2019.</w:t>
      </w:r>
    </w:p>
    <w:p>
      <w:pPr>
        <w:pStyle w:val="Compact"/>
        <w:numPr>
          <w:ilvl w:val="0"/>
          <w:numId w:val="1008"/>
        </w:numPr>
      </w:pPr>
      <w:r>
        <w:t xml:space="preserve">Several Infoblox/BlueCat installations that cover some subnets but</w:t>
      </w:r>
      <w:r>
        <w:t xml:space="preserve"> </w:t>
      </w:r>
      <w:r>
        <w:t xml:space="preserve">not others.</w:t>
      </w:r>
    </w:p>
    <w:p>
      <w:pPr>
        <w:pStyle w:val="Compact"/>
        <w:numPr>
          <w:ilvl w:val="0"/>
          <w:numId w:val="1008"/>
        </w:numPr>
      </w:pPr>
      <w:r>
        <w:t xml:space="preserve">Reserved / not-reserved ranges that conflict with actual usage.</w:t>
      </w:r>
    </w:p>
    <w:p>
      <w:pPr>
        <w:pStyle w:val="FirstParagraph"/>
      </w:pPr>
      <w:r>
        <w:t xml:space="preserve">The migration goal is</w:t>
      </w:r>
      <w:r>
        <w:t xml:space="preserve"> </w:t>
      </w:r>
      <w:r>
        <w:rPr>
          <w:b/>
          <w:bCs/>
        </w:rPr>
        <w:t xml:space="preserve">one governed IPAM</w:t>
      </w:r>
      <w:r>
        <w:t xml:space="preserve"> </w:t>
      </w:r>
      <w:r>
        <w:t xml:space="preserve">with full coverage of the</w:t>
      </w:r>
      <w:r>
        <w:t xml:space="preserve"> </w:t>
      </w:r>
      <w:r>
        <w:t xml:space="preserve">address surface.</w:t>
      </w:r>
    </w:p>
    <w:bookmarkEnd w:id="24"/>
    <w:bookmarkStart w:id="25" w:name="the-ipam-adapter-dm_010-source-present"/>
    <w:p>
      <w:pPr>
        <w:pStyle w:val="Heading3"/>
      </w:pPr>
      <w:r>
        <w:t xml:space="preserve">The IPAM adapter (DM_010 — source present)</w:t>
      </w:r>
    </w:p>
    <w:p>
      <w:pPr>
        <w:pStyle w:val="FirstParagraph"/>
      </w:pPr>
      <w:r>
        <w:t xml:space="preserve">DM_010 is the one adapter in this trio that exists in source. It</w:t>
      </w:r>
      <w:r>
        <w:t xml:space="preserve"> </w:t>
      </w:r>
      <w:r>
        <w:t xml:space="preserve">supports three implementations: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Implementation</w:t>
            </w:r>
          </w:p>
        </w:tc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  <w:r>
              <w:t xml:space="preserve">FedRAMP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Infoblox NIOS 8.x</w:t>
            </w:r>
          </w:p>
        </w:tc>
        <w:tc>
          <w:tcPr/>
          <w:p>
            <w:pPr>
              <w:pStyle w:val="Compact"/>
            </w:pPr>
            <w:r>
              <w:t xml:space="preserve">Infoblox</w:t>
            </w:r>
          </w:p>
        </w:tc>
        <w:tc>
          <w:tcPr/>
          <w:p>
            <w:pPr>
              <w:pStyle w:val="Compact"/>
            </w:pPr>
            <w:r>
              <w:t xml:space="preserve">Authorized</w:t>
            </w:r>
          </w:p>
        </w:tc>
        <w:tc>
          <w:tcPr/>
          <w:p>
            <w:pPr>
              <w:pStyle w:val="Compact"/>
            </w:pPr>
            <w:r>
              <w:t xml:space="preserve">Federally-preferred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BlueCat Address Manager</w:t>
            </w:r>
          </w:p>
        </w:tc>
        <w:tc>
          <w:tcPr/>
          <w:p>
            <w:pPr>
              <w:pStyle w:val="Compact"/>
            </w:pPr>
            <w:r>
              <w:t xml:space="preserve">BlueCat</w:t>
            </w:r>
          </w:p>
        </w:tc>
        <w:tc>
          <w:tcPr/>
          <w:p>
            <w:pPr>
              <w:pStyle w:val="Compact"/>
            </w:pPr>
            <w:r>
              <w:t xml:space="preserve">Not authorized</w:t>
            </w:r>
          </w:p>
        </w:tc>
        <w:tc>
          <w:tcPr/>
          <w:p>
            <w:pPr>
              <w:pStyle w:val="Compact"/>
            </w:pPr>
            <w:r>
              <w:t xml:space="preserve">Needs boundary exception per deployment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Generic IPAM</w:t>
            </w:r>
          </w:p>
        </w:tc>
        <w:tc>
          <w:tcPr/>
          <w:p>
            <w:pPr>
              <w:pStyle w:val="Compact"/>
            </w:pPr>
            <w:r>
              <w:t xml:space="preserve">Any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Fallback; CSV-driven import</w:t>
            </w:r>
          </w:p>
        </w:tc>
      </w:tr>
    </w:tbl>
    <w:p>
      <w:pPr>
        <w:pStyle w:val="BodyText"/>
      </w:pPr>
      <w:r>
        <w:t xml:space="preserve">The adapter contract standardises:</w:t>
      </w:r>
    </w:p>
    <w:p>
      <w:pPr>
        <w:pStyle w:val="Compact"/>
        <w:numPr>
          <w:ilvl w:val="0"/>
          <w:numId w:val="1009"/>
        </w:numPr>
      </w:pPr>
      <w:r>
        <w:t xml:space="preserve">Network range discovery.</w:t>
      </w:r>
    </w:p>
    <w:p>
      <w:pPr>
        <w:pStyle w:val="Compact"/>
        <w:numPr>
          <w:ilvl w:val="0"/>
          <w:numId w:val="1009"/>
        </w:numPr>
      </w:pPr>
      <w:r>
        <w:t xml:space="preserve">Host record sync with DNS.</w:t>
      </w:r>
    </w:p>
    <w:p>
      <w:pPr>
        <w:pStyle w:val="Compact"/>
        <w:numPr>
          <w:ilvl w:val="0"/>
          <w:numId w:val="1009"/>
        </w:numPr>
      </w:pPr>
      <w:r>
        <w:t xml:space="preserve">Reservation sync with DHCP.</w:t>
      </w:r>
    </w:p>
    <w:p>
      <w:pPr>
        <w:pStyle w:val="Compact"/>
        <w:numPr>
          <w:ilvl w:val="0"/>
          <w:numId w:val="1009"/>
        </w:numPr>
      </w:pPr>
      <w:r>
        <w:t xml:space="preserve">Change-window tracking (every addition / modification carries a</w:t>
      </w:r>
      <w:r>
        <w:t xml:space="preserve"> </w:t>
      </w:r>
      <w:r>
        <w:t xml:space="preserve">correlation ID).</w:t>
      </w:r>
    </w:p>
    <w:p>
      <w:pPr>
        <w:pStyle w:val="Compact"/>
        <w:numPr>
          <w:ilvl w:val="0"/>
          <w:numId w:val="1009"/>
        </w:numPr>
      </w:pPr>
      <w:r>
        <w:t xml:space="preserve">Provenance emission (every change produces a Gitea commit).</w:t>
      </w:r>
    </w:p>
    <w:bookmarkEnd w:id="25"/>
    <w:bookmarkStart w:id="26" w:name="one-ipam-three-services"/>
    <w:p>
      <w:pPr>
        <w:pStyle w:val="Heading3"/>
      </w:pPr>
      <w:r>
        <w:t xml:space="preserve">One IPAM, three services</w:t>
      </w:r>
    </w:p>
    <w:p>
      <w:pPr>
        <w:pStyle w:val="FirstParagraph"/>
      </w:pPr>
      <w:r>
        <w:t xml:space="preserve">The operating model: IPAM is the single source of truth for</w:t>
      </w:r>
      <w:r>
        <w:t xml:space="preserve"> </w:t>
      </w:r>
      <w:r>
        <w:t xml:space="preserve">addressing. DNS and DHCP adapters read from IPAM and produce matched</w:t>
      </w:r>
      <w:r>
        <w:t xml:space="preserve"> </w:t>
      </w:r>
      <w:r>
        <w:t xml:space="preserve">records. Drift between IPAM and DNS/DHCP is</w:t>
      </w:r>
      <w:r>
        <w:t xml:space="preserve"> </w:t>
      </w:r>
      <w:r>
        <w:rPr>
          <w:b/>
          <w:bCs/>
        </w:rPr>
        <w:t xml:space="preserve">Hierarchy Drift</w:t>
      </w:r>
      <w:r>
        <w:t xml:space="preserve"> </w:t>
      </w:r>
      <w:r>
        <w:t xml:space="preserve">—</w:t>
      </w:r>
      <w:r>
        <w:t xml:space="preserve"> </w:t>
      </w:r>
      <w:r>
        <w:t xml:space="preserve">the tree exists but the leaves don’t agree.</w:t>
      </w:r>
    </w:p>
    <w:p>
      <w:pPr>
        <w:pStyle w:val="BodyText"/>
      </w:pPr>
      <w:r>
        <w:t xml:space="preserve">This pattern is why all three services migrate together, not</w:t>
      </w:r>
      <w:r>
        <w:t xml:space="preserve"> </w:t>
      </w:r>
      <w:r>
        <w:t xml:space="preserve">separately.</w:t>
      </w:r>
    </w:p>
    <w:bookmarkEnd w:id="26"/>
    <w:bookmarkEnd w:id="27"/>
    <w:bookmarkStart w:id="28" w:name="X608786cd4c9d09f0c65f8e5611661b8418c248a"/>
    <w:p>
      <w:pPr>
        <w:pStyle w:val="Heading2"/>
      </w:pPr>
      <w:r>
        <w:t xml:space="preserve">Hybrid resolution architecture in one diagram</w:t>
      </w:r>
    </w:p>
    <w:p>
      <w:pPr>
        <w:pStyle w:val="SourceCode"/>
      </w:pPr>
      <w:r>
        <w:rPr>
          <w:rStyle w:val="VerbatimChar"/>
        </w:rPr>
        <w:t xml:space="preserve">On-prem namespace                            Hybrid path                        Cloud namespace</w:t>
      </w:r>
      <w:r>
        <w:br/>
      </w:r>
      <w:r>
        <w:rPr>
          <w:rStyle w:val="VerbatimChar"/>
        </w:rPr>
        <w:t xml:space="preserve">┌────────────────────┐                ┌──────────────────────────┐         ┌──────────────────────┐</w:t>
      </w:r>
      <w:r>
        <w:br/>
      </w:r>
      <w:r>
        <w:rPr>
          <w:rStyle w:val="VerbatimChar"/>
        </w:rPr>
        <w:t xml:space="preserve">│ UIAO-GIT01.corp    │                │  Azure DNS Private       │         │  privatelink.        │</w:t>
      </w:r>
      <w:r>
        <w:br/>
      </w:r>
      <w:r>
        <w:rPr>
          <w:rStyle w:val="VerbatimChar"/>
        </w:rPr>
        <w:t xml:space="preserve">│ fileserver.corp    │ ─── conditional │  Resolver                 │ ← → │  blob.core.windows   │</w:t>
      </w:r>
      <w:r>
        <w:br/>
      </w:r>
      <w:r>
        <w:rPr>
          <w:rStyle w:val="VerbatimChar"/>
        </w:rPr>
        <w:t xml:space="preserve">│ printer.corp       │     forwarder  │  inbound endpoint         │         │  .net                │</w:t>
      </w:r>
      <w:r>
        <w:br/>
      </w:r>
      <w:r>
        <w:rPr>
          <w:rStyle w:val="VerbatimChar"/>
        </w:rPr>
        <w:t xml:space="preserve">└────────────────────┘                │  ↕                        │         └──────────────────────┘</w:t>
      </w:r>
      <w:r>
        <w:br/>
      </w:r>
      <w:r>
        <w:rPr>
          <w:rStyle w:val="VerbatimChar"/>
        </w:rPr>
        <w:t xml:space="preserve">                                      │  outbound endpoint        │</w:t>
      </w:r>
      <w:r>
        <w:br/>
      </w:r>
      <w:r>
        <w:rPr>
          <w:rStyle w:val="VerbatimChar"/>
        </w:rPr>
        <w:t xml:space="preserve">                                      └──────────────────────────┘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                            │</w:t>
      </w:r>
      <w:r>
        <w:br/>
      </w:r>
      <w:r>
        <w:rPr>
          <w:rStyle w:val="VerbatimChar"/>
        </w:rPr>
        <w:t xml:space="preserve">                                                     ↓</w:t>
      </w:r>
      <w:r>
        <w:br/>
      </w:r>
      <w:r>
        <w:rPr>
          <w:rStyle w:val="VerbatimChar"/>
        </w:rPr>
        <w:t xml:space="preserve">                                      ┌──────────────────────────┐</w:t>
      </w:r>
      <w:r>
        <w:br/>
      </w:r>
      <w:r>
        <w:rPr>
          <w:rStyle w:val="VerbatimChar"/>
        </w:rPr>
        <w:t xml:space="preserve">                                      │  Azure Private DNS Zone  │</w:t>
      </w:r>
      <w:r>
        <w:br/>
      </w:r>
      <w:r>
        <w:rPr>
          <w:rStyle w:val="VerbatimChar"/>
        </w:rPr>
        <w:t xml:space="preserve">                                      │  uiao.internal           │</w:t>
      </w:r>
      <w:r>
        <w:br/>
      </w:r>
      <w:r>
        <w:rPr>
          <w:rStyle w:val="VerbatimChar"/>
        </w:rPr>
        <w:t xml:space="preserve">                                      │  (authoritative)         │</w:t>
      </w:r>
      <w:r>
        <w:br/>
      </w:r>
      <w:r>
        <w:rPr>
          <w:rStyle w:val="VerbatimChar"/>
        </w:rPr>
        <w:t xml:space="preserve">                                      └──────────────────────────┘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                            │</w:t>
      </w:r>
      <w:r>
        <w:br/>
      </w:r>
      <w:r>
        <w:rPr>
          <w:rStyle w:val="VerbatimChar"/>
        </w:rPr>
        <w:t xml:space="preserve">                                                     ↓</w:t>
      </w:r>
      <w:r>
        <w:br/>
      </w:r>
      <w:r>
        <w:rPr>
          <w:rStyle w:val="VerbatimChar"/>
        </w:rPr>
        <w:t xml:space="preserve">                                             IPAM (DM_010)</w:t>
      </w:r>
      <w:r>
        <w:br/>
      </w:r>
      <w:r>
        <w:rPr>
          <w:rStyle w:val="VerbatimChar"/>
        </w:rPr>
        <w:t xml:space="preserve">                                             single source of truth</w:t>
      </w:r>
    </w:p>
    <w:p>
      <w:pPr>
        <w:pStyle w:val="FirstParagraph"/>
      </w:pPr>
      <w:r>
        <w:t xml:space="preserve">Reads go in either direction: an on-prem host resolves</w:t>
      </w:r>
      <w:r>
        <w:t xml:space="preserve"> </w:t>
      </w:r>
      <w:r>
        <w:rPr>
          <w:rStyle w:val="VerbatimChar"/>
        </w:rPr>
        <w:t xml:space="preserve">fileserver.corp</w:t>
      </w:r>
      <w:r>
        <w:t xml:space="preserve"> </w:t>
      </w:r>
      <w:r>
        <w:t xml:space="preserve">through the Resolver inbound endpoint; an</w:t>
      </w:r>
      <w:r>
        <w:t xml:space="preserve"> </w:t>
      </w:r>
      <w:r>
        <w:t xml:space="preserve">Arc-projected VM in the platform VNet resolves</w:t>
      </w:r>
      <w:r>
        <w:t xml:space="preserve"> </w:t>
      </w:r>
      <w:r>
        <w:rPr>
          <w:rStyle w:val="VerbatimChar"/>
        </w:rPr>
        <w:t xml:space="preserve">uiao.internal</w:t>
      </w:r>
      <w:r>
        <w:t xml:space="preserve"> </w:t>
      </w:r>
      <w:r>
        <w:t xml:space="preserve">through the outbound endpoint to Private DNS.</w:t>
      </w:r>
    </w:p>
    <w:bookmarkEnd w:id="28"/>
    <w:bookmarkStart w:id="29" w:name="the-three-adapter-plan"/>
    <w:p>
      <w:pPr>
        <w:pStyle w:val="Heading2"/>
      </w:pPr>
      <w:r>
        <w:t xml:space="preserve">The three-adapter plan</w:t>
      </w:r>
    </w:p>
    <w:p>
      <w:pPr>
        <w:pStyle w:val="FirstParagraph"/>
      </w:pPr>
      <w:r>
        <w:t xml:space="preserve">Every network-services modernization run produces a plan with all</w:t>
      </w:r>
      <w:r>
        <w:t xml:space="preserve"> </w:t>
      </w:r>
      <w:r>
        <w:t xml:space="preserve">three adapters coordinating: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DM_010 plan actions.</w:t>
      </w:r>
      <w:r>
        <w:t xml:space="preserve"> </w:t>
      </w:r>
      <w:r>
        <w:t xml:space="preserve">Populate IPAM authoritative records.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DM_015 plan actions.</w:t>
      </w:r>
      <w:r>
        <w:t xml:space="preserve"> </w:t>
      </w:r>
      <w:r>
        <w:t xml:space="preserve">Create Private DNS zone entries keyed to</w:t>
      </w:r>
      <w:r>
        <w:t xml:space="preserve"> </w:t>
      </w:r>
      <w:r>
        <w:t xml:space="preserve">IPAM records.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DM_016 plan actions.</w:t>
      </w:r>
      <w:r>
        <w:t xml:space="preserve"> </w:t>
      </w:r>
      <w:r>
        <w:t xml:space="preserve">Create DHCP scope reservations keyed to</w:t>
      </w:r>
      <w:r>
        <w:t xml:space="preserve"> </w:t>
      </w:r>
      <w:r>
        <w:t xml:space="preserve">IPAM records (where DHCP is used).</w:t>
      </w:r>
    </w:p>
    <w:p>
      <w:pPr>
        <w:pStyle w:val="FirstParagraph"/>
      </w:pPr>
      <w:r>
        <w:t xml:space="preserve">If any of the three would produce drift between itself and the other</w:t>
      </w:r>
      <w:r>
        <w:t xml:space="preserve"> </w:t>
      </w:r>
      <w:r>
        <w:t xml:space="preserve">two, the plan fails validation. There is no</w:t>
      </w:r>
      <w:r>
        <w:t xml:space="preserve"> </w:t>
      </w:r>
      <w:r>
        <w:t xml:space="preserve">“DNS-only”</w:t>
      </w:r>
      <w:r>
        <w:t xml:space="preserve"> </w:t>
      </w:r>
      <w:r>
        <w:t xml:space="preserve">migration</w:t>
      </w:r>
      <w:r>
        <w:t xml:space="preserve"> </w:t>
      </w:r>
      <w:r>
        <w:t xml:space="preserve">run; it is always DNS + DHCP + IPAM together.</w:t>
      </w:r>
    </w:p>
    <w:bookmarkEnd w:id="29"/>
    <w:bookmarkStart w:id="30" w:name="validation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Services migration passes when:</w:t>
      </w:r>
    </w:p>
    <w:p>
      <w:pPr>
        <w:pStyle w:val="Compact"/>
        <w:numPr>
          <w:ilvl w:val="0"/>
          <w:numId w:val="1011"/>
        </w:numPr>
      </w:pPr>
      <w:r>
        <w:t xml:space="preserve">IPAM covers 100% of the address surface (no unclaimed</w:t>
      </w:r>
      <w:r>
        <w:t xml:space="preserve"> </w:t>
      </w:r>
      <w:r>
        <w:t xml:space="preserve">subnets).</w:t>
      </w:r>
    </w:p>
    <w:p>
      <w:pPr>
        <w:pStyle w:val="Compact"/>
        <w:numPr>
          <w:ilvl w:val="0"/>
          <w:numId w:val="1012"/>
        </w:numPr>
      </w:pPr>
      <w:r>
        <w:t xml:space="preserve">Every Private DNS record has a matching IPAM entry.</w:t>
      </w:r>
    </w:p>
    <w:p>
      <w:pPr>
        <w:pStyle w:val="Compact"/>
        <w:numPr>
          <w:ilvl w:val="0"/>
          <w:numId w:val="1013"/>
        </w:numPr>
      </w:pPr>
      <w:r>
        <w:t xml:space="preserve">Every DHCP reservation has a matching IPAM entry.</w:t>
      </w:r>
    </w:p>
    <w:p>
      <w:pPr>
        <w:pStyle w:val="Compact"/>
        <w:numPr>
          <w:ilvl w:val="0"/>
          <w:numId w:val="1014"/>
        </w:numPr>
      </w:pPr>
      <w:r>
        <w:t xml:space="preserve">Every on-prem conditional forwarder points to the Private</w:t>
      </w:r>
      <w:r>
        <w:t xml:space="preserve"> </w:t>
      </w:r>
      <w:r>
        <w:t xml:space="preserve">Resolver inbound endpoint.</w:t>
      </w:r>
    </w:p>
    <w:p>
      <w:pPr>
        <w:pStyle w:val="Compact"/>
        <w:numPr>
          <w:ilvl w:val="0"/>
          <w:numId w:val="1015"/>
        </w:numPr>
      </w:pPr>
      <w:r>
        <w:t xml:space="preserve">Every VNet points to the Private Resolver outbound endpoint.</w:t>
      </w:r>
    </w:p>
    <w:p>
      <w:pPr>
        <w:pStyle w:val="Compact"/>
        <w:numPr>
          <w:ilvl w:val="0"/>
          <w:numId w:val="1016"/>
        </w:numPr>
      </w:pPr>
      <w:r>
        <w:t xml:space="preserve">The legacy AD-integrated DNS zone is retired (or explicitly</w:t>
      </w:r>
      <w:r>
        <w:t xml:space="preserve"> </w:t>
      </w:r>
      <w:r>
        <w:t xml:space="preserve">excluded with documented rationale).</w:t>
      </w:r>
    </w:p>
    <w:p>
      <w:pPr>
        <w:pStyle w:val="Compact"/>
        <w:numPr>
          <w:ilvl w:val="0"/>
          <w:numId w:val="1017"/>
        </w:numPr>
      </w:pPr>
      <w:r>
        <w:t xml:space="preserve">MOD_M reports zero drift across IPAM ↔ DNS ↔ DHCP for N</w:t>
      </w:r>
      <w:r>
        <w:t xml:space="preserve"> </w:t>
      </w:r>
      <w:r>
        <w:t xml:space="preserve">days.</w:t>
      </w:r>
    </w:p>
    <w:p>
      <w:pPr>
        <w:pStyle w:val="Compact"/>
        <w:numPr>
          <w:ilvl w:val="0"/>
          <w:numId w:val="1018"/>
        </w:numPr>
      </w:pPr>
      <w:r>
        <w:t xml:space="preserve">The nightly assessment → plan run produces zero actions for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services/</w:t>
      </w:r>
      <w:r>
        <w:t xml:space="preserve"> </w:t>
      </w:r>
      <w:r>
        <w:t xml:space="preserve">tree.</w:t>
      </w:r>
    </w:p>
    <w:bookmarkEnd w:id="30"/>
    <w:bookmarkStart w:id="31" w:name="X4b04bbcf2aa8d56a6f9cf1dd6d1d86576e7bf05"/>
    <w:p>
      <w:pPr>
        <w:pStyle w:val="Heading2"/>
      </w:pPr>
      <w:r>
        <w:t xml:space="preserve">Why agencies postpone — and why they shouldn’t</w:t>
      </w:r>
    </w:p>
    <w:p>
      <w:pPr>
        <w:pStyle w:val="FirstParagraph"/>
      </w:pPr>
      <w:r>
        <w:t xml:space="preserve">The common pattern: modernize identity + policy, leave DNS/DHCP/IPAM</w:t>
      </w:r>
      <w:r>
        <w:t xml:space="preserve"> </w:t>
      </w:r>
      <w:r>
        <w:t xml:space="preserve">for</w:t>
      </w:r>
      <w:r>
        <w:t xml:space="preserve"> </w:t>
      </w:r>
      <w:r>
        <w:t xml:space="preserve">“Phase 2.”</w:t>
      </w:r>
      <w:r>
        <w:t xml:space="preserve"> </w:t>
      </w:r>
      <w:r>
        <w:t xml:space="preserve">Phase 2 rarely happens. The agency is left with:</w:t>
      </w:r>
    </w:p>
    <w:p>
      <w:pPr>
        <w:pStyle w:val="Compact"/>
        <w:numPr>
          <w:ilvl w:val="0"/>
          <w:numId w:val="1019"/>
        </w:numPr>
      </w:pPr>
      <w:r>
        <w:t xml:space="preserve">AD retired for user authentication.</w:t>
      </w:r>
    </w:p>
    <w:p>
      <w:pPr>
        <w:pStyle w:val="Compact"/>
        <w:numPr>
          <w:ilvl w:val="0"/>
          <w:numId w:val="1019"/>
        </w:numPr>
      </w:pPr>
      <w:r>
        <w:t xml:space="preserve">AD retained</w:t>
      </w:r>
      <w:r>
        <w:t xml:space="preserve"> </w:t>
      </w:r>
      <w:r>
        <w:t xml:space="preserve">“because DNS still lives there.”</w:t>
      </w:r>
    </w:p>
    <w:p>
      <w:pPr>
        <w:pStyle w:val="Compact"/>
        <w:numPr>
          <w:ilvl w:val="0"/>
          <w:numId w:val="1019"/>
        </w:numPr>
      </w:pPr>
      <w:r>
        <w:t xml:space="preserve">Silent coupling between the two.</w:t>
      </w:r>
    </w:p>
    <w:p>
      <w:pPr>
        <w:pStyle w:val="FirstParagraph"/>
      </w:pPr>
      <w:r>
        <w:t xml:space="preserve">A forest that retains AD-integrated DNS is not actually retired. Do</w:t>
      </w:r>
      <w:r>
        <w:t xml:space="preserve"> </w:t>
      </w:r>
      <w:r>
        <w:t xml:space="preserve">not pretend otherwise. The services migration is part of the core</w:t>
      </w:r>
      <w:r>
        <w:t xml:space="preserve"> </w:t>
      </w:r>
      <w:r>
        <w:t xml:space="preserve">modernization, not a follow-on.</w:t>
      </w:r>
    </w:p>
    <w:bookmarkEnd w:id="31"/>
    <w:bookmarkStart w:id="35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DNS Modernization Guide — AD-Integrated DNS to</w:t>
      </w:r>
      <w:r>
        <w:t xml:space="preserve"> </w:t>
      </w:r>
      <w:r>
        <w:t xml:space="preserve">Azure Hybrid Resolution (11,245 words). Operational reference</w:t>
      </w:r>
      <w:r>
        <w:t xml:space="preserve"> </w:t>
      </w:r>
      <w:r>
        <w:t xml:space="preserve">implementation for DM_015.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DM_010 IPAM Adapter Interface (source present) · DM_015</w:t>
      </w:r>
      <w:r>
        <w:t xml:space="preserve"> </w:t>
      </w:r>
      <w:r>
        <w:t xml:space="preserve">DNS Adapter (gap — author as part of modernization) · DM_016 DHCP</w:t>
      </w:r>
      <w:r>
        <w:t xml:space="preserve"> </w:t>
      </w:r>
      <w:r>
        <w:t xml:space="preserve">Adapter (gap).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32">
        <w:r>
          <w:rPr>
            <w:rStyle w:val="Hyperlink"/>
          </w:rPr>
          <w:t xml:space="preserve">adapter-specs/infoblox</w:t>
        </w:r>
      </w:hyperlink>
      <w:r>
        <w:t xml:space="preserve">;</w:t>
      </w:r>
      <w:r>
        <w:t xml:space="preserve"> </w:t>
      </w:r>
      <w:hyperlink r:id="rId33">
        <w:r>
          <w:rPr>
            <w:rStyle w:val="Hyperlink"/>
          </w:rPr>
          <w:t xml:space="preserve">modernization/directory-migration.qmd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34">
        <w:r>
          <w:rPr>
            <w:rStyle w:val="Hyperlink"/>
          </w:rPr>
          <w:t xml:space="preserve">Chapter 07 — Compute: Domain-Joined → Entra + Intune + Azure Arc</w:t>
        </w:r>
      </w:hyperlink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33" Target="../../../modernization/directory-migration.html" TargetMode="External" /><Relationship Type="http://schemas.openxmlformats.org/officeDocument/2006/relationships/hyperlink" Id="rId32" Target="../../adapter-specs/infoblox/infoblox.html" TargetMode="External" /><Relationship Type="http://schemas.openxmlformats.org/officeDocument/2006/relationships/hyperlink" Id="rId34" Target="07-compute-object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../../../modernization/directory-migration.html" TargetMode="External" /><Relationship Type="http://schemas.openxmlformats.org/officeDocument/2006/relationships/hyperlink" Id="rId32" Target="../../adapter-specs/infoblox/infoblox.html" TargetMode="External" /><Relationship Type="http://schemas.openxmlformats.org/officeDocument/2006/relationships/hyperlink" Id="rId34" Target="07-compute-object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06 — Services: DNS, DHCP, IPAM in the Hybrid-Cloud Model</dc:title>
  <dc:creator/>
  <cp:keywords/>
  <dcterms:created xsi:type="dcterms:W3CDTF">2026-05-06T19:44:54Z</dcterms:created>
  <dcterms:modified xsi:type="dcterms:W3CDTF">2026-05-06T19:44:54Z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Network + infrastructure engineers · modernization architects</vt:lpwstr>
  </property>
  <property fmtid="{D5CDD505-2E9C-101B-9397-08002B2CF9AE}" pid="4" name="biblio-config">
    <vt:lpwstr>True</vt:lpwstr>
  </property>
  <property fmtid="{D5CDD505-2E9C-101B-9397-08002B2CF9AE}" pid="5" name="canon-source">
    <vt:lpwstr>Posted DNS Modernization Guide + DM_010 IPAM + DM_015 DNS (gap) + DM_016 DHCP (gap)</vt:lpwstr>
  </property>
  <property fmtid="{D5CDD505-2E9C-101B-9397-08002B2CF9AE}" pid="6" name="chapter">
    <vt:lpwstr>6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AD-integrated DNS → Azure Private Resolver · AD DHCP → governed hybrid DHCP · ad-hoc IPAM → Infoblox/BlueCat adapters</vt:lpwstr>
  </property>
  <property fmtid="{D5CDD505-2E9C-101B-9397-08002B2CF9AE}" pid="16" name="toc-title">
    <vt:lpwstr>Table of contents</vt:lpwstr>
  </property>
</Properties>
</file>