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08 — Access Plane: SASE, Zero Trust, MFA, Certificate-Based Auth</w:t>
      </w:r>
    </w:p>
    <w:p>
      <w:pPr>
        <w:pStyle w:val="Subtitle"/>
      </w:pPr>
      <w:r>
        <w:t xml:space="preserve">The identity-bound access plane that replaces the AD network perimeter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7" w:name="Xdac8a7e11fa62a99021d6a401f0d063b797edfd"/>
    <w:p>
      <w:pPr>
        <w:pStyle w:val="Heading1"/>
      </w:pPr>
      <w:r>
        <w:t xml:space="preserve">Chapter 08 — Access Plane: SASE, Zero Trust, MFA, Certificate-Based Auth</w:t>
      </w:r>
    </w:p>
    <w:p>
      <w:pPr>
        <w:pStyle w:val="FirstParagraph"/>
      </w:pPr>
      <w:r>
        <w:rPr>
          <w:i/>
          <w:iCs/>
        </w:rPr>
        <w:t xml:space="preserve">The identity-bound access plane that replaces the AD network perimeter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8.1 — Morning login: seven-step Zero-Trust access flow from device boot to privileged elevation</w:t>
            </w:r>
          </w:p>
        </w:tc>
      </w:tr>
    </w:tbl>
    <w:p>
      <w:pPr>
        <w:pStyle w:val="ImageCaption"/>
      </w:pPr>
      <w:r>
        <w:t xml:space="preserve">Figure 8.1 — Morning login: seven-step Zero-Trust access flow from device boot to privileged elevation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access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AD retirement removes the network perimeter as an authorization boundary.</w:t>
            </w:r>
            <w:r>
              <w:t xml:space="preserve"> </w:t>
            </w:r>
            <w:r>
              <w:t xml:space="preserve">The Microsoft replacement is an</w:t>
            </w:r>
            <w:r>
              <w:t xml:space="preserve"> </w:t>
            </w:r>
            <w:r>
              <w:rPr>
                <w:b/>
                <w:bCs/>
              </w:rPr>
              <w:t xml:space="preserve">identity-bound access plane</w:t>
            </w:r>
            <w:r>
              <w:t xml:space="preserve"> </w:t>
            </w:r>
            <w:r>
              <w:t xml:space="preserve">built on</w:t>
            </w:r>
            <w:r>
              <w:t xml:space="preserve"> </w:t>
            </w:r>
            <w:r>
              <w:t xml:space="preserve">four coordinated surfaces —</w:t>
            </w:r>
            <w:r>
              <w:t xml:space="preserve"> </w:t>
            </w:r>
            <w:r>
              <w:rPr>
                <w:b/>
                <w:bCs/>
              </w:rPr>
              <w:t xml:space="preserve">Zero Trust</w:t>
            </w:r>
            <w:r>
              <w:t xml:space="preserve"> </w:t>
            </w:r>
            <w:r>
              <w:t xml:space="preserve">(architectural model),</w:t>
            </w:r>
            <w:r>
              <w:t xml:space="preserve"> </w:t>
            </w:r>
            <w:r>
              <w:rPr>
                <w:b/>
                <w:bCs/>
              </w:rPr>
              <w:t xml:space="preserve">Conditional Access</w:t>
            </w:r>
            <w:r>
              <w:t xml:space="preserve"> </w:t>
            </w:r>
            <w:r>
              <w:t xml:space="preserve">(policy enforcement, covered in Chapter 05),</w:t>
            </w:r>
            <w:r>
              <w:t xml:space="preserve"> </w:t>
            </w:r>
            <w:r>
              <w:rPr>
                <w:b/>
                <w:bCs/>
              </w:rPr>
              <w:t xml:space="preserve">SASE</w:t>
            </w:r>
            <w:r>
              <w:t xml:space="preserve"> </w:t>
            </w:r>
            <w:r>
              <w:t xml:space="preserve">(edge delivery), and</w:t>
            </w:r>
            <w:r>
              <w:t xml:space="preserve"> </w:t>
            </w:r>
            <w:r>
              <w:rPr>
                <w:b/>
                <w:bCs/>
              </w:rPr>
              <w:t xml:space="preserve">phishing-resistant MFA + CBA</w:t>
            </w:r>
            <w:r>
              <w:t xml:space="preserve"> </w:t>
            </w:r>
            <w:r>
              <w:t xml:space="preserve">(proof of</w:t>
            </w:r>
            <w:r>
              <w:t xml:space="preserve"> </w:t>
            </w:r>
            <w:r>
              <w:t xml:space="preserve">identity). UIAO integrates all four into one governed surface targeted</w:t>
            </w:r>
            <w:r>
              <w:t xml:space="preserve"> </w:t>
            </w:r>
            <w:r>
              <w:t xml:space="preserve">by OrgPath.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outcome: every access decision is a per-request evaluation of</w:t>
            </w:r>
            <w:r>
              <w:t xml:space="preserve"> </w:t>
            </w:r>
            <w:r>
              <w:t xml:space="preserve">identity + device + signal, made at the cloud edge, logged to Entra,</w:t>
            </w:r>
            <w:r>
              <w:t xml:space="preserve"> </w:t>
            </w:r>
            <w:r>
              <w:t xml:space="preserve">and visible to the drift engine.</w:t>
            </w:r>
          </w:p>
          <w:p/>
        </w:tc>
      </w:tr>
    </w:tbl>
    <w:bookmarkStart w:id="14" w:name="the-model-zero-trust"/>
    <w:p>
      <w:pPr>
        <w:pStyle w:val="Heading2"/>
      </w:pPr>
      <w:r>
        <w:t xml:space="preserve">The model — Zero Trust</w:t>
      </w:r>
    </w:p>
    <w:p>
      <w:pPr>
        <w:pStyle w:val="FirstParagraph"/>
      </w:pPr>
      <w:r>
        <w:t xml:space="preserve">Zero Trust is not a product. It is a set of architectural principles</w:t>
      </w:r>
      <w:r>
        <w:t xml:space="preserve"> </w:t>
      </w:r>
      <w:r>
        <w:t xml:space="preserve">that UIAO enforces consistently across every access surface.</w:t>
      </w:r>
    </w:p>
    <w:bookmarkStart w:id="12" w:name="the-three-zero-trust-principles"/>
    <w:p>
      <w:pPr>
        <w:pStyle w:val="Heading3"/>
      </w:pPr>
      <w:r>
        <w:t xml:space="preserve">The three Zero Trust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Verify explicitly.</w:t>
      </w:r>
      <w:r>
        <w:t xml:space="preserve"> </w:t>
      </w:r>
      <w:r>
        <w:t xml:space="preserve">Every access request is authenticated and</w:t>
      </w:r>
      <w:r>
        <w:t xml:space="preserve"> </w:t>
      </w:r>
      <w:r>
        <w:t xml:space="preserve">authorized at the moment of use. There is no</w:t>
      </w:r>
      <w:r>
        <w:t xml:space="preserve"> </w:t>
      </w:r>
      <w:r>
        <w:t xml:space="preserve">“inside the</w:t>
      </w:r>
      <w:r>
        <w:t xml:space="preserve"> </w:t>
      </w:r>
      <w:r>
        <w:t xml:space="preserve">network = trusted”</w:t>
      </w:r>
      <w:r>
        <w:t xml:space="preserve"> </w:t>
      </w:r>
      <w:r>
        <w:t xml:space="preserve">concept. Identity, device posture, risk score,</w:t>
      </w:r>
      <w:r>
        <w:t xml:space="preserve"> </w:t>
      </w:r>
      <w:r>
        <w:t xml:space="preserve">and session state are evaluated per request.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Use least-privilege access.</w:t>
      </w:r>
      <w:r>
        <w:t xml:space="preserve"> </w:t>
      </w:r>
      <w:r>
        <w:t xml:space="preserve">Access is time-bound (PIM),</w:t>
      </w:r>
      <w:r>
        <w:t xml:space="preserve"> </w:t>
      </w:r>
      <w:r>
        <w:t xml:space="preserve">resource-scoped (AU + group targeting), and purpose-scoped</w:t>
      </w:r>
      <w:r>
        <w:t xml:space="preserve"> </w:t>
      </w:r>
      <w:r>
        <w:t xml:space="preserve">(Access Packages). No standing privileged access.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Assume breach.</w:t>
      </w:r>
      <w:r>
        <w:t xml:space="preserve"> </w:t>
      </w:r>
      <w:r>
        <w:t xml:space="preserve">Every session is treated as potentially</w:t>
      </w:r>
      <w:r>
        <w:t xml:space="preserve"> </w:t>
      </w:r>
      <w:r>
        <w:t xml:space="preserve">compromised. Continuous Access Evaluation (CAE) can revoke a</w:t>
      </w:r>
      <w:r>
        <w:t xml:space="preserve"> </w:t>
      </w:r>
      <w:r>
        <w:t xml:space="preserve">session mid-flight. Break-glass carve-outs are minimal,</w:t>
      </w:r>
      <w:r>
        <w:t xml:space="preserve"> </w:t>
      </w:r>
      <w:r>
        <w:t xml:space="preserve">monitored, and audited.</w:t>
      </w:r>
    </w:p>
    <w:p>
      <w:pPr>
        <w:pStyle w:val="FirstParagraph"/>
      </w:pPr>
      <w:r>
        <w:t xml:space="preserve">UIAO’s Zero Trust model is enforced by the combined effect of</w:t>
      </w:r>
      <w:r>
        <w:t xml:space="preserve"> </w:t>
      </w:r>
      <w:r>
        <w:t xml:space="preserve">Conditional Access (policy), Intune compliance (device signal),</w:t>
      </w:r>
      <w:r>
        <w:t xml:space="preserve"> </w:t>
      </w:r>
      <w:r>
        <w:t xml:space="preserve">Entra PIM (privilege elevation), and CBA (identity proof). No single</w:t>
      </w:r>
      <w:r>
        <w:t xml:space="preserve"> </w:t>
      </w:r>
      <w:r>
        <w:t xml:space="preserve">control is Zero Trust by itself; the pattern is the four together.</w:t>
      </w:r>
    </w:p>
    <w:bookmarkEnd w:id="12"/>
    <w:bookmarkStart w:id="13" w:name="what-retires"/>
    <w:p>
      <w:pPr>
        <w:pStyle w:val="Heading3"/>
      </w:pPr>
      <w:r>
        <w:t xml:space="preserve">What retires</w:t>
      </w:r>
    </w:p>
    <w:p>
      <w:pPr>
        <w:pStyle w:val="FirstParagraph"/>
      </w:pPr>
      <w:r>
        <w:t xml:space="preserve">When Zero Trust is in place, three AD-era patterns retire: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Network-segment-as-authority.</w:t>
      </w:r>
      <w:r>
        <w:t xml:space="preserve"> </w:t>
      </w:r>
      <w:r>
        <w:t xml:space="preserve">IP-range-based allowlists stop</w:t>
      </w:r>
      <w:r>
        <w:t xml:space="preserve"> </w:t>
      </w:r>
      <w:r>
        <w:t xml:space="preserve">being authoritative. Policy is per-identity, per-device, per-session.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Pass-through AD Kerberos.</w:t>
      </w:r>
      <w:r>
        <w:t xml:space="preserve"> </w:t>
      </w:r>
      <w:r>
        <w:t xml:space="preserve">Services no longer accept Kerberos</w:t>
      </w:r>
      <w:r>
        <w:t xml:space="preserve"> </w:t>
      </w:r>
      <w:r>
        <w:t xml:space="preserve">tickets issued by a domain controller. Tokens are Entra-issued,</w:t>
      </w:r>
      <w:r>
        <w:t xml:space="preserve"> </w:t>
      </w:r>
      <w:r>
        <w:t xml:space="preserve">short-lived, and CAE-monitored.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Persistent admin rights.</w:t>
      </w:r>
      <w:r>
        <w:t xml:space="preserve"> </w:t>
      </w:r>
      <w:r>
        <w:t xml:space="preserve">Domain Admins / local admin groups /</w:t>
      </w:r>
      <w:r>
        <w:t xml:space="preserve"> </w:t>
      </w:r>
      <w:r>
        <w:t xml:space="preserve">service accounts with never-expiring passwords all migrate to PIM,</w:t>
      </w:r>
      <w:r>
        <w:t xml:space="preserve"> </w:t>
      </w:r>
      <w:r>
        <w:t xml:space="preserve">gMSA (where Kerberos islands persist), or Workload Identity</w:t>
      </w:r>
      <w:r>
        <w:t xml:space="preserve"> </w:t>
      </w:r>
      <w:r>
        <w:t xml:space="preserve">Federation (where cloud services auth to Entra).</w:t>
      </w:r>
    </w:p>
    <w:bookmarkEnd w:id="13"/>
    <w:bookmarkEnd w:id="14"/>
    <w:bookmarkStart w:id="17" w:name="sase-the-edge-delivery-surface"/>
    <w:p>
      <w:pPr>
        <w:pStyle w:val="Heading2"/>
      </w:pPr>
      <w:r>
        <w:t xml:space="preserve">SASE — the edge delivery surface</w:t>
      </w:r>
    </w:p>
    <w:p>
      <w:pPr>
        <w:pStyle w:val="FirstParagraph"/>
      </w:pPr>
      <w:r>
        <w:t xml:space="preserve">Secure Access Service Edge (SASE) is the cloud-delivered security</w:t>
      </w:r>
      <w:r>
        <w:t xml:space="preserve"> </w:t>
      </w:r>
      <w:r>
        <w:t xml:space="preserve">surface that replaces the on-prem firewall + VPN + proxy + CASB</w:t>
      </w:r>
      <w:r>
        <w:t xml:space="preserve"> </w:t>
      </w:r>
      <w:r>
        <w:t xml:space="preserve">stack. UIAO doesn’t mandate a specific SASE vendor; it governs the</w:t>
      </w:r>
      <w:r>
        <w:t xml:space="preserve"> </w:t>
      </w:r>
      <w:r>
        <w:t xml:space="preserve">integration contract.</w:t>
      </w:r>
    </w:p>
    <w:bookmarkStart w:id="15" w:name="the-sase-component-set"/>
    <w:p>
      <w:pPr>
        <w:pStyle w:val="Heading3"/>
      </w:pPr>
      <w:r>
        <w:t xml:space="preserve">The SASE component set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Integration to UIAO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ZTNA</w:t>
            </w:r>
            <w:r>
              <w:t xml:space="preserve"> </w:t>
            </w:r>
            <w:r>
              <w:t xml:space="preserve">(Zero Trust Network Access)</w:t>
            </w:r>
          </w:p>
        </w:tc>
        <w:tc>
          <w:tcPr/>
          <w:p>
            <w:pPr>
              <w:pStyle w:val="Compact"/>
            </w:pPr>
            <w:r>
              <w:t xml:space="preserve">Per-application reverse-proxy access, replaces VPN</w:t>
            </w:r>
          </w:p>
        </w:tc>
        <w:tc>
          <w:tcPr/>
          <w:p>
            <w:pPr>
              <w:pStyle w:val="Compact"/>
            </w:pPr>
            <w:r>
              <w:t xml:space="preserve">Targets OrgTree app groups; CA policy enforces device compliance + MFA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SWG</w:t>
            </w:r>
            <w:r>
              <w:t xml:space="preserve"> </w:t>
            </w:r>
            <w:r>
              <w:t xml:space="preserve">(Secure Web Gateway)</w:t>
            </w:r>
          </w:p>
        </w:tc>
        <w:tc>
          <w:tcPr/>
          <w:p>
            <w:pPr>
              <w:pStyle w:val="Compact"/>
            </w:pPr>
            <w:r>
              <w:t xml:space="preserve">Outbound web filtering + DLP</w:t>
            </w:r>
          </w:p>
        </w:tc>
        <w:tc>
          <w:tcPr/>
          <w:p>
            <w:pPr>
              <w:pStyle w:val="Compact"/>
            </w:pPr>
            <w:r>
              <w:t xml:space="preserve">Targets OrgTree user groups; logs to SIEM (Compliance pillar C.7)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CASB</w:t>
            </w:r>
            <w:r>
              <w:t xml:space="preserve"> </w:t>
            </w:r>
            <w:r>
              <w:t xml:space="preserve">(Cloud Access Security Broker)</w:t>
            </w:r>
          </w:p>
        </w:tc>
        <w:tc>
          <w:tcPr/>
          <w:p>
            <w:pPr>
              <w:pStyle w:val="Compact"/>
            </w:pPr>
            <w:r>
              <w:t xml:space="preserve">Sanctioned-cloud inline enforcement</w:t>
            </w:r>
          </w:p>
        </w:tc>
        <w:tc>
          <w:tcPr/>
          <w:p>
            <w:pPr>
              <w:pStyle w:val="Compact"/>
            </w:pPr>
            <w:r>
              <w:t xml:space="preserve">Reads Entra app catalog; OrgPath-scoped policies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FWaaS</w:t>
            </w:r>
            <w:r>
              <w:t xml:space="preserve"> </w:t>
            </w:r>
            <w:r>
              <w:t xml:space="preserve">(Firewall as a Service)</w:t>
            </w:r>
          </w:p>
        </w:tc>
        <w:tc>
          <w:tcPr/>
          <w:p>
            <w:pPr>
              <w:pStyle w:val="Compact"/>
            </w:pPr>
            <w:r>
              <w:t xml:space="preserve">Distributed firewall plane</w:t>
            </w:r>
          </w:p>
        </w:tc>
        <w:tc>
          <w:tcPr/>
          <w:p>
            <w:pPr>
              <w:pStyle w:val="Compact"/>
            </w:pPr>
            <w:r>
              <w:t xml:space="preserve">Arc-projected policy targeting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DLP</w:t>
            </w:r>
            <w:r>
              <w:t xml:space="preserve"> </w:t>
            </w:r>
            <w:r>
              <w:t xml:space="preserve">(Data Loss Prevention)</w:t>
            </w:r>
          </w:p>
        </w:tc>
        <w:tc>
          <w:tcPr/>
          <w:p>
            <w:pPr>
              <w:pStyle w:val="Compact"/>
            </w:pPr>
            <w:r>
              <w:t xml:space="preserve">Content-aware filtering</w:t>
            </w:r>
          </w:p>
        </w:tc>
        <w:tc>
          <w:tcPr/>
          <w:p>
            <w:pPr>
              <w:pStyle w:val="Compact"/>
            </w:pPr>
            <w:r>
              <w:t xml:space="preserve">Targets OrgTree CUI-scoped groups</w:t>
            </w:r>
          </w:p>
        </w:tc>
      </w:tr>
    </w:tbl>
    <w:bookmarkEnd w:id="15"/>
    <w:bookmarkStart w:id="16" w:name="sase-integration-pattern"/>
    <w:p>
      <w:pPr>
        <w:pStyle w:val="Heading3"/>
      </w:pPr>
      <w:r>
        <w:t xml:space="preserve">SASE integration pattern</w:t>
      </w:r>
    </w:p>
    <w:p>
      <w:pPr>
        <w:pStyle w:val="FirstParagraph"/>
      </w:pPr>
      <w:r>
        <w:t xml:space="preserve">UIAO’s contract with the SASE vendor: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Identity federation.</w:t>
      </w:r>
      <w:r>
        <w:t xml:space="preserve"> </w:t>
      </w:r>
      <w:r>
        <w:t xml:space="preserve">SASE authenticates users via Entra OIDC.</w:t>
      </w:r>
      <w:r>
        <w:t xml:space="preserve"> </w:t>
      </w:r>
      <w:r>
        <w:t xml:space="preserve">No local SASE user database.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Group targeting.</w:t>
      </w:r>
      <w:r>
        <w:t xml:space="preserve"> </w:t>
      </w:r>
      <w:r>
        <w:t xml:space="preserve">SASE policies reference OrgTree dynamic</w:t>
      </w:r>
      <w:r>
        <w:t xml:space="preserve"> </w:t>
      </w:r>
      <w:r>
        <w:t xml:space="preserve">groups via SCIM or group claim, not local groups.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Device posture.</w:t>
      </w:r>
      <w:r>
        <w:t xml:space="preserve"> </w:t>
      </w:r>
      <w:r>
        <w:t xml:space="preserve">SASE accepts the Intune compliance signal</w:t>
      </w:r>
      <w:r>
        <w:t xml:space="preserve"> </w:t>
      </w:r>
      <w:r>
        <w:t xml:space="preserve">(via MS Graph or equivalent API) as an input to policy.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Logging.</w:t>
      </w:r>
      <w:r>
        <w:t xml:space="preserve"> </w:t>
      </w:r>
      <w:r>
        <w:t xml:space="preserve">SASE ships access logs to the UIAO SIEM adapter; the</w:t>
      </w:r>
      <w:r>
        <w:t xml:space="preserve"> </w:t>
      </w:r>
      <w:r>
        <w:t xml:space="preserve">drift engine correlates against Entra sign-in logs.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Provenance.</w:t>
      </w:r>
      <w:r>
        <w:t xml:space="preserve"> </w:t>
      </w:r>
      <w:r>
        <w:t xml:space="preserve">SASE policy changes flow through the</w:t>
      </w:r>
      <w:r>
        <w:t xml:space="preserve"> </w:t>
      </w:r>
      <w:r>
        <w:rPr>
          <w:rStyle w:val="VerbatimChar"/>
        </w:rPr>
        <w:t xml:space="preserve">policies/sase/</w:t>
      </w:r>
      <w:r>
        <w:t xml:space="preserve"> </w:t>
      </w:r>
      <w:r>
        <w:t xml:space="preserve">tree in Gitea — no direct vendor-portal edits.</w:t>
      </w:r>
    </w:p>
    <w:p>
      <w:pPr>
        <w:pStyle w:val="FirstParagraph"/>
      </w:pPr>
      <w:r>
        <w:t xml:space="preserve">Common vendors meeting this contract: Zscaler, Palo Alto Prisma</w:t>
      </w:r>
      <w:r>
        <w:t xml:space="preserve"> </w:t>
      </w:r>
      <w:r>
        <w:t xml:space="preserve">Access, Cisco Umbrella + Secure Access, Microsoft Global Secure</w:t>
      </w:r>
      <w:r>
        <w:t xml:space="preserve"> </w:t>
      </w:r>
      <w:r>
        <w:t xml:space="preserve">Access. Vendor choice is an agency decision; the integration</w:t>
      </w:r>
      <w:r>
        <w:t xml:space="preserve"> </w:t>
      </w:r>
      <w:r>
        <w:t xml:space="preserve">contract is canonical.</w:t>
      </w:r>
    </w:p>
    <w:bookmarkEnd w:id="16"/>
    <w:bookmarkEnd w:id="17"/>
    <w:bookmarkStart w:id="20" w:name="mfa-phishing-resistant-methods"/>
    <w:p>
      <w:pPr>
        <w:pStyle w:val="Heading2"/>
      </w:pPr>
      <w:r>
        <w:t xml:space="preserve">MFA — phishing-resistant methods</w:t>
      </w:r>
    </w:p>
    <w:p>
      <w:pPr>
        <w:pStyle w:val="FirstParagraph"/>
      </w:pPr>
      <w:r>
        <w:t xml:space="preserve">Not all MFA is equal. UIAO’s access-plane canon requires</w:t>
      </w:r>
      <w:r>
        <w:t xml:space="preserve"> </w:t>
      </w:r>
      <w:r>
        <w:rPr>
          <w:b/>
          <w:bCs/>
        </w:rPr>
        <w:t xml:space="preserve">phishing-resistant</w:t>
      </w:r>
      <w:r>
        <w:t xml:space="preserve"> </w:t>
      </w:r>
      <w:r>
        <w:t xml:space="preserve">MFA methods for every privileged user and for</w:t>
      </w:r>
      <w:r>
        <w:t xml:space="preserve"> </w:t>
      </w:r>
      <w:r>
        <w:t xml:space="preserve">all users on high-risk resources.</w:t>
      </w:r>
    </w:p>
    <w:bookmarkStart w:id="18" w:name="the-method-hierarchy"/>
    <w:p>
      <w:pPr>
        <w:pStyle w:val="Heading3"/>
      </w:pPr>
      <w:r>
        <w:t xml:space="preserve">The method hierarchy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Phishing-resistant</w:t>
            </w:r>
          </w:p>
        </w:tc>
        <w:tc>
          <w:tcPr/>
          <w:p>
            <w:pPr>
              <w:pStyle w:val="Compact"/>
            </w:pPr>
            <w:r>
              <w:t xml:space="preserve">Typical use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FIDO2 security keys</w:t>
            </w:r>
            <w:r>
              <w:t xml:space="preserve"> </w:t>
            </w:r>
            <w:r>
              <w:t xml:space="preserve">(YubiKey, Feitian)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Tier-0 admins, high-privilege users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Entra Platform SSO passkeys</w:t>
            </w:r>
            <w:r>
              <w:t xml:space="preserve"> </w:t>
            </w:r>
            <w:r>
              <w:t xml:space="preserve">(Windows Hello for Business)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User PCs, default daily auth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Certificate-Based Auth</w:t>
            </w:r>
            <w:r>
              <w:t xml:space="preserve"> </w:t>
            </w:r>
            <w:r>
              <w:t xml:space="preserve">(Entra CBA + PIV/CAC)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Federal users with CAC/PIV cards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Authenticator App</w:t>
            </w:r>
            <w:r>
              <w:t xml:space="preserve"> </w:t>
            </w:r>
            <w:r>
              <w:t xml:space="preserve">with number-matching</w:t>
            </w:r>
          </w:p>
        </w:tc>
        <w:tc>
          <w:tcPr/>
          <w:p>
            <w:pPr>
              <w:pStyle w:val="Compact"/>
            </w:pPr>
            <w:r>
              <w:t xml:space="preserve">Partial (resists push bombing)</w:t>
            </w:r>
          </w:p>
        </w:tc>
        <w:tc>
          <w:tcPr/>
          <w:p>
            <w:pPr>
              <w:pStyle w:val="Compact"/>
            </w:pPr>
            <w:r>
              <w:t xml:space="preserve">Standard users, secondary method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Authenticator App</w:t>
            </w:r>
            <w:r>
              <w:t xml:space="preserve"> </w:t>
            </w:r>
            <w:r>
              <w:t xml:space="preserve">without number-matching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Retired</w:t>
            </w:r>
            <w:r>
              <w:t xml:space="preserve"> </w:t>
            </w:r>
            <w:r>
              <w:t xml:space="preserve">— not permitted in UIAO canon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SMS / Voice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Retired</w:t>
            </w:r>
            <w:r>
              <w:t xml:space="preserve"> </w:t>
            </w:r>
            <w:r>
              <w:t xml:space="preserve">— not permitted in UIAO canon</w:t>
            </w:r>
          </w:p>
        </w:tc>
      </w:tr>
    </w:tbl>
    <w:bookmarkEnd w:id="18"/>
    <w:bookmarkStart w:id="19" w:name="uiaos-method-policy"/>
    <w:p>
      <w:pPr>
        <w:pStyle w:val="Heading3"/>
      </w:pPr>
      <w:r>
        <w:t xml:space="preserve">UIAO’s method policy</w:t>
      </w:r>
    </w:p>
    <w:p>
      <w:pPr>
        <w:pStyle w:val="FirstParagraph"/>
      </w:pPr>
      <w:r>
        <w:t xml:space="preserve">The Conditional Access library (Chapter 05) enforces: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CA-400 series</w:t>
      </w:r>
      <w:r>
        <w:t xml:space="preserve"> </w:t>
      </w:r>
      <w:r>
        <w:t xml:space="preserve">(role-scoped) — FIDO2 / CBA required for Tier-0</w:t>
      </w:r>
      <w:r>
        <w:t xml:space="preserve"> </w:t>
      </w:r>
      <w:r>
        <w:t xml:space="preserve">admins, Privileged Identity roles, and break-glass test accounts.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CA-100 series</w:t>
      </w:r>
      <w:r>
        <w:t xml:space="preserve"> </w:t>
      </w:r>
      <w:r>
        <w:t xml:space="preserve">(enterprise baseline) — Platform SSO / FIDO2 /</w:t>
      </w:r>
      <w:r>
        <w:t xml:space="preserve"> </w:t>
      </w:r>
      <w:r>
        <w:t xml:space="preserve">Authenticator with number-matching required for all users. SMS +</w:t>
      </w:r>
      <w:r>
        <w:t xml:space="preserve"> </w:t>
      </w:r>
      <w:r>
        <w:t xml:space="preserve">Voice explicitly blocked.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CA-500 series</w:t>
      </w:r>
      <w:r>
        <w:t xml:space="preserve"> </w:t>
      </w:r>
      <w:r>
        <w:t xml:space="preserve">(workload) — elevated methods for specific</w:t>
      </w:r>
      <w:r>
        <w:t xml:space="preserve"> </w:t>
      </w:r>
      <w:r>
        <w:t xml:space="preserve">sensitive applications (financial systems, case-management tools).</w:t>
      </w:r>
    </w:p>
    <w:p>
      <w:pPr>
        <w:pStyle w:val="FirstParagraph"/>
      </w:pPr>
      <w:r>
        <w:t xml:space="preserve">Every agency with CAC / PIV holders uses CBA as the user default.</w:t>
      </w:r>
      <w:r>
        <w:t xml:space="preserve"> </w:t>
      </w:r>
      <w:r>
        <w:t xml:space="preserve">CAC+PIN reaches the same Entra session that a non-CAC user reaches</w:t>
      </w:r>
      <w:r>
        <w:t xml:space="preserve"> </w:t>
      </w:r>
      <w:r>
        <w:t xml:space="preserve">via Platform SSO — both are phishing-resistant; both are the</w:t>
      </w:r>
      <w:r>
        <w:t xml:space="preserve"> </w:t>
      </w:r>
      <w:r>
        <w:t xml:space="preserve">preferred method.</w:t>
      </w:r>
    </w:p>
    <w:bookmarkEnd w:id="19"/>
    <w:bookmarkEnd w:id="20"/>
    <w:bookmarkStart w:id="24" w:name="X30f84a841987751818fb3f2238e81bd840c0de2"/>
    <w:p>
      <w:pPr>
        <w:pStyle w:val="Heading2"/>
      </w:pPr>
      <w:r>
        <w:t xml:space="preserve">Entra Certificate-Based Authentication — the ADCS retirement path</w:t>
      </w:r>
    </w:p>
    <w:bookmarkStart w:id="21" w:name="the-problem-entra-cba-solves"/>
    <w:p>
      <w:pPr>
        <w:pStyle w:val="Heading3"/>
      </w:pPr>
      <w:r>
        <w:t xml:space="preserve">The problem Entra CBA solves</w:t>
      </w:r>
    </w:p>
    <w:p>
      <w:pPr>
        <w:pStyle w:val="FirstParagraph"/>
      </w:pPr>
      <w:r>
        <w:t xml:space="preserve">Federal agencies using CAC / PIV smart cards have historically</w:t>
      </w:r>
      <w:r>
        <w:t xml:space="preserve"> </w:t>
      </w:r>
      <w:r>
        <w:t xml:space="preserve">anchored smart-card logon in ADCS. When AD DS retires, the ADCS</w:t>
      </w:r>
      <w:r>
        <w:t xml:space="preserve"> </w:t>
      </w:r>
      <w:r>
        <w:t xml:space="preserve">trust chain for smart-card logon loses its validation path — unless</w:t>
      </w:r>
      <w:r>
        <w:t xml:space="preserve"> </w:t>
      </w:r>
      <w:r>
        <w:t xml:space="preserve">the chain is re-anchored in Entra.</w:t>
      </w:r>
    </w:p>
    <w:bookmarkEnd w:id="21"/>
    <w:bookmarkStart w:id="22" w:name="how-entra-cba-works"/>
    <w:p>
      <w:pPr>
        <w:pStyle w:val="Heading3"/>
      </w:pPr>
      <w:r>
        <w:t xml:space="preserve">How Entra CBA works</w:t>
      </w:r>
    </w:p>
    <w:p>
      <w:pPr>
        <w:pStyle w:val="FirstParagraph"/>
      </w:pPr>
      <w:r>
        <w:t xml:space="preserve">Entra CBA accepts X.509 certificates from a trusted CA (uploaded</w:t>
      </w:r>
      <w:r>
        <w:t xml:space="preserve"> </w:t>
      </w:r>
      <w:r>
        <w:t xml:space="preserve">into the Entra tenant). When a user presents a certificate:</w:t>
      </w:r>
    </w:p>
    <w:p>
      <w:pPr>
        <w:pStyle w:val="Compact"/>
        <w:numPr>
          <w:ilvl w:val="0"/>
          <w:numId w:val="1005"/>
        </w:numPr>
      </w:pPr>
      <w:r>
        <w:t xml:space="preserve">Entra validates the certificate chain against the uploaded CA</w:t>
      </w:r>
      <w:r>
        <w:t xml:space="preserve"> </w:t>
      </w:r>
      <w:r>
        <w:t xml:space="preserve">list.</w:t>
      </w:r>
    </w:p>
    <w:p>
      <w:pPr>
        <w:pStyle w:val="Compact"/>
        <w:numPr>
          <w:ilvl w:val="0"/>
          <w:numId w:val="1005"/>
        </w:numPr>
      </w:pPr>
      <w:r>
        <w:t xml:space="preserve">Entra maps the certificate’s subject name (or UPN, or</w:t>
      </w:r>
      <w:r>
        <w:t xml:space="preserve"> </w:t>
      </w:r>
      <w:r>
        <w:t xml:space="preserve">PrincipalName SAN) to an Entra user via configured mapping</w:t>
      </w:r>
      <w:r>
        <w:t xml:space="preserve"> </w:t>
      </w:r>
      <w:r>
        <w:t xml:space="preserve">rules.</w:t>
      </w:r>
    </w:p>
    <w:p>
      <w:pPr>
        <w:pStyle w:val="Compact"/>
        <w:numPr>
          <w:ilvl w:val="0"/>
          <w:numId w:val="1005"/>
        </w:numPr>
      </w:pPr>
      <w:r>
        <w:t xml:space="preserve">The user is authenticated to Entra; a token is issued; CA</w:t>
      </w:r>
      <w:r>
        <w:t xml:space="preserve"> </w:t>
      </w:r>
      <w:r>
        <w:t xml:space="preserve">policies evaluate the sign-in.</w:t>
      </w:r>
    </w:p>
    <w:p>
      <w:pPr>
        <w:pStyle w:val="FirstParagraph"/>
      </w:pPr>
      <w:r>
        <w:t xml:space="preserve">The user experience is: insert CAC → enter PIN → get a token. No</w:t>
      </w:r>
      <w:r>
        <w:t xml:space="preserve"> </w:t>
      </w:r>
      <w:r>
        <w:t xml:space="preserve">difference from AD-anchored smart-card logon. The governance</w:t>
      </w:r>
      <w:r>
        <w:t xml:space="preserve"> </w:t>
      </w:r>
      <w:r>
        <w:t xml:space="preserve">difference: the validation chain ends in Entra, not in AD.</w:t>
      </w:r>
    </w:p>
    <w:bookmarkEnd w:id="22"/>
    <w:bookmarkStart w:id="23" w:name="the-adcs-retirement-sequence"/>
    <w:p>
      <w:pPr>
        <w:pStyle w:val="Heading3"/>
      </w:pPr>
      <w:r>
        <w:t xml:space="preserve">The ADCS retirement sequence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Upload enterprise CA certificates to Entra.</w:t>
      </w:r>
      <w:r>
        <w:t xml:space="preserve"> </w:t>
      </w:r>
      <w:r>
        <w:t xml:space="preserve">Root + Issuing</w:t>
      </w:r>
      <w:r>
        <w:t xml:space="preserve"> </w:t>
      </w:r>
      <w:r>
        <w:t xml:space="preserve">CA cert chains imported into the Entra CBA configuration.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Configure certificate-to-user mapping.</w:t>
      </w:r>
      <w:r>
        <w:t xml:space="preserve"> </w:t>
      </w:r>
      <w:r>
        <w:t xml:space="preserve">Typically</w:t>
      </w:r>
      <w:r>
        <w:t xml:space="preserve"> </w:t>
      </w:r>
      <w:r>
        <w:rPr>
          <w:rStyle w:val="VerbatimChar"/>
        </w:rPr>
        <w:t xml:space="preserve">UserPrincipalName</w:t>
      </w:r>
      <w:r>
        <w:t xml:space="preserve"> </w:t>
      </w:r>
      <w:r>
        <w:t xml:space="preserve">SAN → Entra UPN; sometimes</w:t>
      </w:r>
      <w:r>
        <w:t xml:space="preserve"> </w:t>
      </w:r>
      <w:r>
        <w:rPr>
          <w:rStyle w:val="VerbatimChar"/>
        </w:rPr>
        <w:t xml:space="preserve">PrincipalName</w:t>
      </w:r>
      <w:r>
        <w:t xml:space="preserve"> </w:t>
      </w:r>
      <w:r>
        <w:t xml:space="preserve">SAN →</w:t>
      </w:r>
      <w:r>
        <w:t xml:space="preserve"> </w:t>
      </w:r>
      <w:r>
        <w:rPr>
          <w:rStyle w:val="VerbatimChar"/>
        </w:rPr>
        <w:t xml:space="preserve">userPrincipalName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Enable CBA as an authentication method.</w:t>
      </w:r>
      <w:r>
        <w:t xml:space="preserve"> </w:t>
      </w:r>
      <w:r>
        <w:t xml:space="preserve">Under</w:t>
      </w:r>
      <w:r>
        <w:t xml:space="preserve"> </w:t>
      </w:r>
      <w:r>
        <w:t xml:space="preserve">Entra → Authentication methods → Certificate-based</w:t>
      </w:r>
      <w:r>
        <w:t xml:space="preserve"> </w:t>
      </w:r>
      <w:r>
        <w:t xml:space="preserve">authentication.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Enforce via CA.</w:t>
      </w:r>
      <w:r>
        <w:t xml:space="preserve"> </w:t>
      </w:r>
      <w:r>
        <w:t xml:space="preserve">CA policies require CBA for designated user</w:t>
      </w:r>
      <w:r>
        <w:t xml:space="preserve"> </w:t>
      </w:r>
      <w:r>
        <w:t xml:space="preserve">groups (OrgTree-scoped).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Validate.</w:t>
      </w:r>
      <w:r>
        <w:t xml:space="preserve"> </w:t>
      </w:r>
      <w:r>
        <w:t xml:space="preserve">Users sign in with CAC / PIV without issue; Entra</w:t>
      </w:r>
      <w:r>
        <w:t xml:space="preserve"> </w:t>
      </w:r>
      <w:r>
        <w:t xml:space="preserve">sign-in log shows CBA method; CA evaluation passes.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Retire ADCS smart-card logon configuration.</w:t>
      </w:r>
      <w:r>
        <w:t xml:space="preserve"> </w:t>
      </w:r>
      <w:r>
        <w:t xml:space="preserve">AD-side smart-</w:t>
      </w:r>
      <w:r>
        <w:t xml:space="preserve"> </w:t>
      </w:r>
      <w:r>
        <w:t xml:space="preserve">card logon chain is no longer needed; the GPO that configured it</w:t>
      </w:r>
      <w:r>
        <w:t xml:space="preserve"> </w:t>
      </w:r>
      <w:r>
        <w:t xml:space="preserve">retires per Chapter 05.</w:t>
      </w:r>
    </w:p>
    <w:p>
      <w:pPr>
        <w:pStyle w:val="FirstParagraph"/>
      </w:pPr>
      <w:r>
        <w:t xml:space="preserve">UIAO also governs the certificate issuance pipeline itself (DM_020</w:t>
      </w:r>
      <w:r>
        <w:t xml:space="preserve"> </w:t>
      </w:r>
      <w:r>
        <w:t xml:space="preserve">PKI adapter) so new user certificates are issued against the same</w:t>
      </w:r>
      <w:r>
        <w:t xml:space="preserve"> </w:t>
      </w:r>
      <w:r>
        <w:t xml:space="preserve">CA that Entra trusts. A certificate issued today still works 10 years</w:t>
      </w:r>
      <w:r>
        <w:t xml:space="preserve"> </w:t>
      </w:r>
      <w:r>
        <w:t xml:space="preserve">from now because the governance chain is canonical.</w:t>
      </w:r>
    </w:p>
    <w:bookmarkEnd w:id="23"/>
    <w:bookmarkEnd w:id="24"/>
    <w:bookmarkStart w:id="27" w:name="X0c5194243864c07398f1f0dd7c2684eba09cb7f"/>
    <w:p>
      <w:pPr>
        <w:pStyle w:val="Heading2"/>
      </w:pPr>
      <w:r>
        <w:t xml:space="preserve">Privileged Access Management — CyberArk integration</w:t>
      </w:r>
    </w:p>
    <w:p>
      <w:pPr>
        <w:pStyle w:val="FirstParagraph"/>
      </w:pPr>
      <w:r>
        <w:t xml:space="preserve">Every privileged account — domain admin equivalent, cloud admin,</w:t>
      </w:r>
      <w:r>
        <w:t xml:space="preserve"> </w:t>
      </w:r>
      <w:r>
        <w:t xml:space="preserve">emergency break-glass — passes through a PAM vault. UIAO integrates</w:t>
      </w:r>
      <w:r>
        <w:t xml:space="preserve"> </w:t>
      </w:r>
      <w:r>
        <w:t xml:space="preserve">with CyberArk (adapter at</w:t>
      </w:r>
      <w:r>
        <w:t xml:space="preserve"> </w:t>
      </w:r>
      <w:r>
        <w:rPr>
          <w:rStyle w:val="VerbatimChar"/>
        </w:rPr>
        <w:t xml:space="preserve">customer-documents/adapter-specs/cyberark</w:t>
      </w:r>
      <w:r>
        <w:t xml:space="preserve">)</w:t>
      </w:r>
      <w:r>
        <w:t xml:space="preserve"> </w:t>
      </w:r>
      <w:r>
        <w:t xml:space="preserve">but the pattern applies to any PAM vendor.</w:t>
      </w:r>
    </w:p>
    <w:bookmarkStart w:id="25" w:name="the-pam-pattern"/>
    <w:p>
      <w:pPr>
        <w:pStyle w:val="Heading3"/>
      </w:pPr>
      <w:r>
        <w:t xml:space="preserve">The PAM pattern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No standing privileged access.</w:t>
      </w:r>
      <w:r>
        <w:t xml:space="preserve"> </w:t>
      </w:r>
      <w:r>
        <w:t xml:space="preserve">A privileged account exists in</w:t>
      </w:r>
      <w:r>
        <w:t xml:space="preserve"> </w:t>
      </w:r>
      <w:r>
        <w:t xml:space="preserve">Entra PIM but requires explicit elevation for each use (MFA-gated,</w:t>
      </w:r>
      <w:r>
        <w:t xml:space="preserve"> </w:t>
      </w:r>
      <w:r>
        <w:t xml:space="preserve">time-bound, purpose-documented).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Break-glass accounts</w:t>
      </w:r>
      <w:r>
        <w:t xml:space="preserve"> </w:t>
      </w:r>
      <w:r>
        <w:t xml:space="preserve">live in a CyberArk safe. Checkout requires</w:t>
      </w:r>
      <w:r>
        <w:t xml:space="preserve"> </w:t>
      </w:r>
      <w:r>
        <w:t xml:space="preserve">dual approval; session is recorded; auto-rotation on release.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Service accounts</w:t>
      </w:r>
      <w:r>
        <w:t xml:space="preserve"> </w:t>
      </w:r>
      <w:r>
        <w:t xml:space="preserve">with elevated rights use managed identities +</w:t>
      </w:r>
      <w:r>
        <w:t xml:space="preserve"> </w:t>
      </w:r>
      <w:r>
        <w:t xml:space="preserve">Workload Identity Federation where possible; gMSA on the</w:t>
      </w:r>
      <w:r>
        <w:t xml:space="preserve"> </w:t>
      </w:r>
      <w:r>
        <w:t xml:space="preserve">remaining Kerberos islands; vaulted accounts only as last resort.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Session recording</w:t>
      </w:r>
      <w:r>
        <w:t xml:space="preserve"> </w:t>
      </w:r>
      <w:r>
        <w:t xml:space="preserve">for every privileged session — desktop</w:t>
      </w:r>
      <w:r>
        <w:t xml:space="preserve"> </w:t>
      </w:r>
      <w:r>
        <w:t xml:space="preserve">session video, keystroke log, command-line capture — shipped to</w:t>
      </w:r>
      <w:r>
        <w:t xml:space="preserve"> </w:t>
      </w:r>
      <w:r>
        <w:t xml:space="preserve">SIEM.</w:t>
      </w:r>
    </w:p>
    <w:bookmarkEnd w:id="25"/>
    <w:bookmarkStart w:id="26" w:name="cyberark-via-the-adapter"/>
    <w:p>
      <w:pPr>
        <w:pStyle w:val="Heading3"/>
      </w:pPr>
      <w:r>
        <w:t xml:space="preserve">CyberArk via the adapter</w:t>
      </w:r>
    </w:p>
    <w:p>
      <w:pPr>
        <w:pStyle w:val="FirstParagraph"/>
      </w:pPr>
      <w:r>
        <w:t xml:space="preserve">The CyberArk adapter (</w:t>
      </w:r>
      <w:r>
        <w:rPr>
          <w:rStyle w:val="VerbatimChar"/>
        </w:rPr>
        <w:t xml:space="preserve">adapter-specs/cyberark</w:t>
      </w:r>
      <w:r>
        <w:t xml:space="preserve">) canonicalises the</w:t>
      </w:r>
      <w:r>
        <w:t xml:space="preserve"> </w:t>
      </w:r>
      <w:r>
        <w:t xml:space="preserve">integration:</w:t>
      </w:r>
    </w:p>
    <w:p>
      <w:pPr>
        <w:pStyle w:val="Compact"/>
        <w:numPr>
          <w:ilvl w:val="0"/>
          <w:numId w:val="1008"/>
        </w:numPr>
      </w:pPr>
      <w:r>
        <w:t xml:space="preserve">Safe + account CRUD via the governed plan pipeline.</w:t>
      </w:r>
    </w:p>
    <w:p>
      <w:pPr>
        <w:pStyle w:val="Compact"/>
        <w:numPr>
          <w:ilvl w:val="0"/>
          <w:numId w:val="1008"/>
        </w:numPr>
      </w:pPr>
      <w:r>
        <w:t xml:space="preserve">Session events streamed to the UIAO SIEM adapter.</w:t>
      </w:r>
    </w:p>
    <w:p>
      <w:pPr>
        <w:pStyle w:val="Compact"/>
        <w:numPr>
          <w:ilvl w:val="0"/>
          <w:numId w:val="1008"/>
        </w:numPr>
      </w:pPr>
      <w:r>
        <w:t xml:space="preserve">Break-glass checkout events routed to ServiceNow incident.</w:t>
      </w:r>
    </w:p>
    <w:p>
      <w:pPr>
        <w:pStyle w:val="Compact"/>
        <w:numPr>
          <w:ilvl w:val="0"/>
          <w:numId w:val="1008"/>
        </w:numPr>
      </w:pPr>
      <w:r>
        <w:t xml:space="preserve">Drift monitoring: CyberArk-vaulted accounts that don’t appear in</w:t>
      </w:r>
      <w:r>
        <w:t xml:space="preserve"> </w:t>
      </w:r>
      <w:r>
        <w:t xml:space="preserve">Entra are</w:t>
      </w:r>
      <w:r>
        <w:t xml:space="preserve"> </w:t>
      </w:r>
      <w:r>
        <w:rPr>
          <w:b/>
          <w:bCs/>
        </w:rPr>
        <w:t xml:space="preserve">Orphan Drift</w:t>
      </w:r>
      <w:r>
        <w:t xml:space="preserve">; Entra privileged accounts that aren’t</w:t>
      </w:r>
      <w:r>
        <w:t xml:space="preserve"> </w:t>
      </w:r>
      <w:r>
        <w:t xml:space="preserve">vaulted are</w:t>
      </w:r>
      <w:r>
        <w:t xml:space="preserve"> </w:t>
      </w:r>
      <w:r>
        <w:rPr>
          <w:b/>
          <w:bCs/>
        </w:rPr>
        <w:t xml:space="preserve">Phantom Drift</w:t>
      </w:r>
      <w:r>
        <w:t xml:space="preserve">.</w:t>
      </w:r>
    </w:p>
    <w:bookmarkEnd w:id="26"/>
    <w:bookmarkEnd w:id="27"/>
    <w:bookmarkStart w:id="28" w:name="Xe0ff7b3251c16a4fdabac4aac496e844954b14d"/>
    <w:p>
      <w:pPr>
        <w:pStyle w:val="Heading2"/>
      </w:pPr>
      <w:r>
        <w:t xml:space="preserve">Continuous Access Evaluation — the session-level Zero Trust</w:t>
      </w:r>
    </w:p>
    <w:p>
      <w:pPr>
        <w:pStyle w:val="FirstParagraph"/>
      </w:pPr>
      <w:r>
        <w:t xml:space="preserve">A Zero Trust session isn’t</w:t>
      </w:r>
      <w:r>
        <w:t xml:space="preserve"> </w:t>
      </w:r>
      <w:r>
        <w:t xml:space="preserve">“good for 12 hours, then re-auth.”</w:t>
      </w:r>
      <w:r>
        <w:t xml:space="preserve"> </w:t>
      </w:r>
      <w:r>
        <w:t xml:space="preserve">It’s</w:t>
      </w:r>
      <w:r>
        <w:t xml:space="preserve"> </w:t>
      </w:r>
      <w:r>
        <w:t xml:space="preserve">continuously evaluated.</w:t>
      </w:r>
      <w:r>
        <w:t xml:space="preserve"> </w:t>
      </w:r>
      <w:r>
        <w:rPr>
          <w:b/>
          <w:bCs/>
        </w:rPr>
        <w:t xml:space="preserve">Continuous Access Evaluation (CAE)</w:t>
      </w:r>
      <w:r>
        <w:t xml:space="preserve"> </w:t>
      </w:r>
      <w:r>
        <w:t xml:space="preserve">lets</w:t>
      </w:r>
      <w:r>
        <w:t xml:space="preserve"> </w:t>
      </w:r>
      <w:r>
        <w:t xml:space="preserve">Entra and participating services revoke a live session mid-flight</w:t>
      </w:r>
      <w:r>
        <w:t xml:space="preserve"> </w:t>
      </w:r>
      <w:r>
        <w:t xml:space="preserve">when risk changes:</w:t>
      </w:r>
    </w:p>
    <w:p>
      <w:pPr>
        <w:pStyle w:val="Compact"/>
        <w:numPr>
          <w:ilvl w:val="0"/>
          <w:numId w:val="1009"/>
        </w:numPr>
      </w:pPr>
      <w:r>
        <w:t xml:space="preserve">User password changes → session revoked.</w:t>
      </w:r>
    </w:p>
    <w:p>
      <w:pPr>
        <w:pStyle w:val="Compact"/>
        <w:numPr>
          <w:ilvl w:val="0"/>
          <w:numId w:val="1009"/>
        </w:numPr>
      </w:pPr>
      <w:r>
        <w:t xml:space="preserve">User is deleted or disabled → session revoked.</w:t>
      </w:r>
    </w:p>
    <w:p>
      <w:pPr>
        <w:pStyle w:val="Compact"/>
        <w:numPr>
          <w:ilvl w:val="0"/>
          <w:numId w:val="1009"/>
        </w:numPr>
      </w:pPr>
      <w:r>
        <w:t xml:space="preserve">Network location changes to a blocked region → session revoked.</w:t>
      </w:r>
    </w:p>
    <w:p>
      <w:pPr>
        <w:pStyle w:val="Compact"/>
        <w:numPr>
          <w:ilvl w:val="0"/>
          <w:numId w:val="1009"/>
        </w:numPr>
      </w:pPr>
      <w:r>
        <w:t xml:space="preserve">Risk score rises (impossible travel, leaked credentials) → session</w:t>
      </w:r>
      <w:r>
        <w:t xml:space="preserve"> </w:t>
      </w:r>
      <w:r>
        <w:t xml:space="preserve">revoked.</w:t>
      </w:r>
    </w:p>
    <w:p>
      <w:pPr>
        <w:pStyle w:val="FirstParagraph"/>
      </w:pPr>
      <w:r>
        <w:t xml:space="preserve">UIAO’s CA policies are authored with CAE-aware semantics. Every policy</w:t>
      </w:r>
      <w:r>
        <w:t xml:space="preserve"> </w:t>
      </w:r>
      <w:r>
        <w:t xml:space="preserve">that requires compliance or location constraints is re-evaluated</w:t>
      </w:r>
      <w:r>
        <w:t xml:space="preserve"> </w:t>
      </w:r>
      <w:r>
        <w:t xml:space="preserve">continuously, not just at sign-in.</w:t>
      </w:r>
    </w:p>
    <w:bookmarkEnd w:id="28"/>
    <w:bookmarkStart w:id="29" w:name="X7e53dde5bd43b2485adea27c1884095dc7dabf0"/>
    <w:p>
      <w:pPr>
        <w:pStyle w:val="Heading2"/>
      </w:pPr>
      <w:r>
        <w:t xml:space="preserve">Putting it together — the access plane in one flow</w:t>
      </w:r>
    </w:p>
    <w:p>
      <w:pPr>
        <w:pStyle w:val="FirstParagraph"/>
      </w:pPr>
      <w:r>
        <w:t xml:space="preserve">A user opens their laptop in the morning: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Device boot.</w:t>
      </w:r>
      <w:r>
        <w:t xml:space="preserve"> </w:t>
      </w:r>
      <w:r>
        <w:t xml:space="preserve">Laptop boots; Intune compliance checks run;</w:t>
      </w:r>
      <w:r>
        <w:t xml:space="preserve"> </w:t>
      </w:r>
      <w:r>
        <w:t xml:space="preserve">BitLocker unlocks with Entra-escrowed key; device is compliant.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Sign-in.</w:t>
      </w:r>
      <w:r>
        <w:t xml:space="preserve"> </w:t>
      </w:r>
      <w:r>
        <w:t xml:space="preserve">User inserts CAC, enters PIN. Entra CBA validates the</w:t>
      </w:r>
      <w:r>
        <w:t xml:space="preserve"> </w:t>
      </w:r>
      <w:r>
        <w:t xml:space="preserve">certificate chain against the enterprise CA; the user is</w:t>
      </w:r>
      <w:r>
        <w:t xml:space="preserve"> </w:t>
      </w:r>
      <w:r>
        <w:t xml:space="preserve">authenticated; a CAE-aware session token is issued.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CA evaluation.</w:t>
      </w:r>
      <w:r>
        <w:t xml:space="preserve"> </w:t>
      </w:r>
      <w:r>
        <w:t xml:space="preserve">CA-100 (enterprise baseline) evaluates:</w:t>
      </w:r>
      <w:r>
        <w:t xml:space="preserve"> </w:t>
      </w:r>
      <w:r>
        <w:t xml:space="preserve">compliant device ✓, CBA satisfies phishing-resistant-MFA ✓,</w:t>
      </w:r>
      <w:r>
        <w:t xml:space="preserve"> </w:t>
      </w:r>
      <w:r>
        <w:t xml:space="preserve">location in expected range ✓, risk score low ✓. Session allowed.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Application access.</w:t>
      </w:r>
      <w:r>
        <w:t xml:space="preserve"> </w:t>
      </w:r>
      <w:r>
        <w:t xml:space="preserve">User opens M365 apps. Platform SSO</w:t>
      </w:r>
      <w:r>
        <w:t xml:space="preserve"> </w:t>
      </w:r>
      <w:r>
        <w:t xml:space="preserve">satisfies subsequent auths; CAE is live; if risk rises, session</w:t>
      </w:r>
      <w:r>
        <w:t xml:space="preserve"> </w:t>
      </w:r>
      <w:r>
        <w:t xml:space="preserve">can be revoked.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VPN-replacement.</w:t>
      </w:r>
      <w:r>
        <w:t xml:space="preserve"> </w:t>
      </w:r>
      <w:r>
        <w:t xml:space="preserve">User needs to reach an internal</w:t>
      </w:r>
      <w:r>
        <w:t xml:space="preserve"> </w:t>
      </w:r>
      <w:r>
        <w:t xml:space="preserve">(on-prem) app. SASE ZTNA reverse-proxy accepts the Entra token;</w:t>
      </w:r>
      <w:r>
        <w:t xml:space="preserve"> </w:t>
      </w:r>
      <w:r>
        <w:t xml:space="preserve">validates compliance + MFA + OrgPath scope; proxies the</w:t>
      </w:r>
      <w:r>
        <w:t xml:space="preserve"> </w:t>
      </w:r>
      <w:r>
        <w:t xml:space="preserve">connection; logs the access.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Privileged elevation.</w:t>
      </w:r>
      <w:r>
        <w:t xml:space="preserve"> </w:t>
      </w:r>
      <w:r>
        <w:t xml:space="preserve">User needs to make a change to a</w:t>
      </w:r>
      <w:r>
        <w:t xml:space="preserve"> </w:t>
      </w:r>
      <w:r>
        <w:t xml:space="preserve">Tier-0 resource. They request elevation through PIM; MFA</w:t>
      </w:r>
      <w:r>
        <w:t xml:space="preserve"> </w:t>
      </w:r>
      <w:r>
        <w:t xml:space="preserve">re-challenged (FIDO2 required at this tier); approval granted</w:t>
      </w:r>
      <w:r>
        <w:t xml:space="preserve"> </w:t>
      </w:r>
      <w:r>
        <w:t xml:space="preserve">for 60 minutes; session recorded by CyberArk; MOD_X emits the</w:t>
      </w:r>
      <w:r>
        <w:t xml:space="preserve"> </w:t>
      </w:r>
      <w:r>
        <w:t xml:space="preserve">event.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End of day.</w:t>
      </w:r>
      <w:r>
        <w:t xml:space="preserve"> </w:t>
      </w:r>
      <w:r>
        <w:t xml:space="preserve">Laptop sleeps. Token expires; CAE revokes on next</w:t>
      </w:r>
      <w:r>
        <w:t xml:space="preserve"> </w:t>
      </w:r>
      <w:r>
        <w:t xml:space="preserve">reconnect; re-auth starts the cycle.</w:t>
      </w:r>
    </w:p>
    <w:p>
      <w:pPr>
        <w:pStyle w:val="FirstParagraph"/>
      </w:pPr>
      <w:r>
        <w:t xml:space="preserve">Every step above is OrgPath-scoped, provenance-bound, and drift-</w:t>
      </w:r>
      <w:r>
        <w:t xml:space="preserve"> </w:t>
      </w:r>
      <w:r>
        <w:t xml:space="preserve">monitored. A failure anywhere generates an SLA ticket within the</w:t>
      </w:r>
      <w:r>
        <w:t xml:space="preserve"> </w:t>
      </w:r>
      <w:r>
        <w:t xml:space="preserve">response time documented in MOD_Q.</w:t>
      </w:r>
    </w:p>
    <w:bookmarkEnd w:id="29"/>
    <w:bookmarkStart w:id="30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Access-plane migration passes when:</w:t>
      </w:r>
    </w:p>
    <w:p>
      <w:pPr>
        <w:pStyle w:val="Compact"/>
        <w:numPr>
          <w:ilvl w:val="0"/>
          <w:numId w:val="1011"/>
        </w:numPr>
      </w:pPr>
      <w:r>
        <w:t xml:space="preserve">Every user has FIDO2, Platform SSO passkey, or CBA as their</w:t>
      </w:r>
      <w:r>
        <w:t xml:space="preserve"> </w:t>
      </w:r>
      <w:r>
        <w:t xml:space="preserve">primary MFA method. No SMS / Voice as primary.</w:t>
      </w:r>
    </w:p>
    <w:p>
      <w:pPr>
        <w:pStyle w:val="Compact"/>
        <w:numPr>
          <w:ilvl w:val="0"/>
          <w:numId w:val="1012"/>
        </w:numPr>
      </w:pPr>
      <w:r>
        <w:t xml:space="preserve">Every smart-card user signs in via Entra CBA (not AD-anchored</w:t>
      </w:r>
      <w:r>
        <w:t xml:space="preserve"> </w:t>
      </w:r>
      <w:r>
        <w:t xml:space="preserve">smart-card logon).</w:t>
      </w:r>
    </w:p>
    <w:p>
      <w:pPr>
        <w:pStyle w:val="Compact"/>
        <w:numPr>
          <w:ilvl w:val="0"/>
          <w:numId w:val="1013"/>
        </w:numPr>
      </w:pPr>
      <w:r>
        <w:t xml:space="preserve">Every user-facing policy targets OrgTree dynamic groups.</w:t>
      </w:r>
    </w:p>
    <w:p>
      <w:pPr>
        <w:pStyle w:val="Compact"/>
        <w:numPr>
          <w:ilvl w:val="0"/>
          <w:numId w:val="1014"/>
        </w:numPr>
      </w:pPr>
      <w:r>
        <w:t xml:space="preserve">SASE (ZTNA + SWG + CASB, minimum) is in place and</w:t>
      </w:r>
      <w:r>
        <w:t xml:space="preserve"> </w:t>
      </w:r>
      <w:r>
        <w:t xml:space="preserve">Entra-federated.</w:t>
      </w:r>
    </w:p>
    <w:p>
      <w:pPr>
        <w:pStyle w:val="Compact"/>
        <w:numPr>
          <w:ilvl w:val="0"/>
          <w:numId w:val="1015"/>
        </w:numPr>
      </w:pPr>
      <w:r>
        <w:t xml:space="preserve">Every privileged account passes through PAM (CyberArk or</w:t>
      </w:r>
      <w:r>
        <w:t xml:space="preserve"> </w:t>
      </w:r>
      <w:r>
        <w:t xml:space="preserve">equivalent) with session recording.</w:t>
      </w:r>
    </w:p>
    <w:p>
      <w:pPr>
        <w:pStyle w:val="Compact"/>
        <w:numPr>
          <w:ilvl w:val="0"/>
          <w:numId w:val="1016"/>
        </w:numPr>
      </w:pPr>
      <w:r>
        <w:t xml:space="preserve">Every CA policy is CAE-aware.</w:t>
      </w:r>
    </w:p>
    <w:p>
      <w:pPr>
        <w:pStyle w:val="Compact"/>
        <w:numPr>
          <w:ilvl w:val="0"/>
          <w:numId w:val="1017"/>
        </w:numPr>
      </w:pPr>
      <w:r>
        <w:t xml:space="preserve">Break-glass account use is monitored and audited weekly.</w:t>
      </w:r>
    </w:p>
    <w:p>
      <w:pPr>
        <w:pStyle w:val="Compact"/>
        <w:numPr>
          <w:ilvl w:val="0"/>
          <w:numId w:val="1018"/>
        </w:numPr>
      </w:pPr>
      <w:r>
        <w:t xml:space="preserve">The VPN (L2TP / IKEv2 / SSL-VPN) is retired except for</w:t>
      </w:r>
      <w:r>
        <w:t xml:space="preserve"> </w:t>
      </w:r>
      <w:r>
        <w:t xml:space="preserve">explicit legacy-app-access cases with documented end-of-life.</w:t>
      </w:r>
    </w:p>
    <w:p>
      <w:pPr>
        <w:pStyle w:val="Compact"/>
        <w:numPr>
          <w:ilvl w:val="0"/>
          <w:numId w:val="1019"/>
        </w:numPr>
      </w:pPr>
      <w:r>
        <w:t xml:space="preserve">MOD_M reports zero access-plane drift for N days.</w:t>
      </w:r>
    </w:p>
    <w:bookmarkEnd w:id="30"/>
    <w:bookmarkStart w:id="36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31">
        <w:r>
          <w:rPr>
            <w:rStyle w:val="Hyperlink"/>
          </w:rPr>
          <w:t xml:space="preserve">modernization-specs/zero-trust</w:t>
        </w:r>
      </w:hyperlink>
      <w:r>
        <w:t xml:space="preserve"> </w:t>
      </w:r>
      <w:r>
        <w:t xml:space="preserve">·</w:t>
      </w:r>
      <w:r>
        <w:t xml:space="preserve"> </w:t>
      </w:r>
      <w:hyperlink r:id="rId32">
        <w:r>
          <w:rPr>
            <w:rStyle w:val="Hyperlink"/>
          </w:rPr>
          <w:t xml:space="preserve">modernization-specs/sase</w:t>
        </w:r>
      </w:hyperlink>
      <w:r>
        <w:t xml:space="preserve"> </w:t>
      </w:r>
      <w:r>
        <w:t xml:space="preserve">·</w:t>
      </w:r>
      <w:r>
        <w:t xml:space="preserve"> </w:t>
      </w:r>
      <w:hyperlink r:id="rId33">
        <w:r>
          <w:rPr>
            <w:rStyle w:val="Hyperlink"/>
          </w:rPr>
          <w:t xml:space="preserve">adapter-specs/cyberark</w:t>
        </w:r>
      </w:hyperlink>
      <w:r>
        <w:t xml:space="preserve"> </w:t>
      </w:r>
      <w:r>
        <w:t xml:space="preserve">·</w:t>
      </w:r>
      <w:r>
        <w:t xml:space="preserve"> </w:t>
      </w:r>
      <w:hyperlink r:id="rId34">
        <w:r>
          <w:rPr>
            <w:rStyle w:val="Hyperlink"/>
          </w:rPr>
          <w:t xml:space="preserve">compliance/policy-libraries/conditional-access</w:t>
        </w:r>
      </w:hyperlink>
      <w:r>
        <w:t xml:space="preserve">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MOD_D Delegation Matrix (PIM role scoping) · MOD_T</w:t>
      </w:r>
      <w:r>
        <w:t xml:space="preserve"> </w:t>
      </w:r>
      <w:r>
        <w:t xml:space="preserve">Identity Risk Scoring · MOD_X Governance Telemetry (CAE events).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Conditional Access Policy Library (9,650 words) —</w:t>
      </w:r>
      <w:r>
        <w:t xml:space="preserve"> </w:t>
      </w:r>
      <w:r>
        <w:t xml:space="preserve">CA-000 through CA-999 baseline.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5">
        <w:r>
          <w:rPr>
            <w:rStyle w:val="Hyperlink"/>
          </w:rPr>
          <w:t xml:space="preserve">Chapter 09 — Migration Roadmap: Phased Plan, Gates, Rollback</w:t>
        </w:r>
      </w:hyperlink>
    </w:p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33" Target="../../adapter-specs/cyberark/cyberark.html" TargetMode="External" /><Relationship Type="http://schemas.openxmlformats.org/officeDocument/2006/relationships/hyperlink" Id="rId34" Target="../../compliance/policy-libraries/index.html" TargetMode="External" /><Relationship Type="http://schemas.openxmlformats.org/officeDocument/2006/relationships/hyperlink" Id="rId32" Target="../../modernization-specs/sase/sase.html" TargetMode="External" /><Relationship Type="http://schemas.openxmlformats.org/officeDocument/2006/relationships/hyperlink" Id="rId31" Target="../../modernization-specs/zero-trust/zero-trust.html" TargetMode="External" /><Relationship Type="http://schemas.openxmlformats.org/officeDocument/2006/relationships/hyperlink" Id="rId35" Target="09-migration-roadmap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../../adapter-specs/cyberark/cyberark.html" TargetMode="External" /><Relationship Type="http://schemas.openxmlformats.org/officeDocument/2006/relationships/hyperlink" Id="rId34" Target="../../compliance/policy-libraries/index.html" TargetMode="External" /><Relationship Type="http://schemas.openxmlformats.org/officeDocument/2006/relationships/hyperlink" Id="rId32" Target="../../modernization-specs/sase/sase.html" TargetMode="External" /><Relationship Type="http://schemas.openxmlformats.org/officeDocument/2006/relationships/hyperlink" Id="rId31" Target="../../modernization-specs/zero-trust/zero-trust.html" TargetMode="External" /><Relationship Type="http://schemas.openxmlformats.org/officeDocument/2006/relationships/hyperlink" Id="rId35" Target="09-migration-roadm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08 — Access Plane: SASE, Zero Trust, MFA, Certificate-Based Auth</dc:title>
  <dc:creator/>
  <cp:keywords/>
  <dcterms:created xsi:type="dcterms:W3CDTF">2026-05-06T19:44:55Z</dcterms:created>
  <dcterms:modified xsi:type="dcterms:W3CDTF">2026-05-06T19:44:55Z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Security architects · identity architects · CISOs</vt:lpwstr>
  </property>
  <property fmtid="{D5CDD505-2E9C-101B-9397-08002B2CF9AE}" pid="4" name="biblio-config">
    <vt:lpwstr>True</vt:lpwstr>
  </property>
  <property fmtid="{D5CDD505-2E9C-101B-9397-08002B2CF9AE}" pid="5" name="canon-source">
    <vt:lpwstr>modernization-specs/zero-trust + modernization-specs/sase + CyberArk adapter + Entra CBA</vt:lpwstr>
  </property>
  <property fmtid="{D5CDD505-2E9C-101B-9397-08002B2CF9AE}" pid="6" name="chapter">
    <vt:lpwstr>8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The identity-bound access plane that replaces the AD network perimeter</vt:lpwstr>
  </property>
  <property fmtid="{D5CDD505-2E9C-101B-9397-08002B2CF9AE}" pid="16" name="toc-title">
    <vt:lpwstr>Table of contents</vt:lpwstr>
  </property>
</Properties>
</file>