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09 — Migration Roadmap: Phased Plan, Gates, Rollback</w:t>
      </w:r>
    </w:p>
    <w:p>
      <w:pPr>
        <w:pStyle w:val="Subtitle"/>
      </w:pPr>
      <w:r>
        <w:t xml:space="preserve">Seven phases, five parallel workstreams, named gates, deterministic rollback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4" w:name="X5af191b5fdaf99798a05e771cd9bae5ad65e5a2"/>
    <w:p>
      <w:pPr>
        <w:pStyle w:val="Heading1"/>
      </w:pPr>
      <w:r>
        <w:t xml:space="preserve">Chapter 09 — Migration Roadmap: Phased Plan, Gates, Rollback</w:t>
      </w:r>
    </w:p>
    <w:p>
      <w:pPr>
        <w:pStyle w:val="FirstParagraph"/>
      </w:pPr>
      <w:r>
        <w:rPr>
          <w:i/>
          <w:iCs/>
        </w:rPr>
        <w:t xml:space="preserve">Seven phases, five parallel workstreams, named gates, deterministic rollback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Figure 9.1 — 52-week modernization program with seven phases, five parallel workstreams, and six named gates</w:t>
            </w:r>
          </w:p>
        </w:tc>
      </w:tr>
    </w:tbl>
    <w:p>
      <w:pPr>
        <w:pStyle w:val="ImageCaption"/>
      </w:pPr>
      <w:r>
        <w:t xml:space="preserve">Figure 9.1 — 52-week modernization program with seven phases, five parallel workstreams, and six named gates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important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The program claim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Every modernization this series describes is achievable in a</w:t>
            </w:r>
            <w:r>
              <w:t xml:space="preserve"> </w:t>
            </w:r>
            <w:r>
              <w:rPr>
                <w:b/>
                <w:bCs/>
              </w:rPr>
              <w:t xml:space="preserve">52-week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program</w:t>
            </w:r>
            <w:r>
              <w:t xml:space="preserve"> </w:t>
            </w:r>
            <w:r>
              <w:t xml:space="preserve">with five parallel workstreams (identity, policy, services,</w:t>
            </w:r>
            <w:r>
              <w:t xml:space="preserve"> </w:t>
            </w:r>
            <w:r>
              <w:t xml:space="preserve">compute, access) and seven named gates. The roadmap is not a</w:t>
            </w:r>
            <w:r>
              <w:t xml:space="preserve"> </w:t>
            </w:r>
            <w:r>
              <w:t xml:space="preserve">consulting slideware pattern; it is a PR-reviewable document in Gitea,</w:t>
            </w:r>
            <w:r>
              <w:t xml:space="preserve"> </w:t>
            </w:r>
            <w:r>
              <w:t xml:space="preserve">updated weekly, with gate criteria that are mechanical to evaluate.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This chapter is how you sequence the chapters 01-08 work into a</w:t>
            </w:r>
            <w:r>
              <w:t xml:space="preserve"> </w:t>
            </w:r>
            <w:r>
              <w:t xml:space="preserve">governed program that actually ships.</w:t>
            </w:r>
          </w:p>
          <w:p/>
        </w:tc>
      </w:tr>
    </w:tbl>
    <w:bookmarkStart w:id="12" w:name="the-program-shape"/>
    <w:p>
      <w:pPr>
        <w:pStyle w:val="Heading2"/>
      </w:pPr>
      <w:r>
        <w:t xml:space="preserve">The program shape</w:t>
      </w:r>
    </w:p>
    <w:p>
      <w:pPr>
        <w:pStyle w:val="FirstParagraph"/>
      </w:pPr>
      <w:r>
        <w:t xml:space="preserve">A full Client-Server-to-Hybrid-Cloud modernization has two defining</w:t>
      </w:r>
      <w:r>
        <w:t xml:space="preserve"> </w:t>
      </w:r>
      <w:r>
        <w:t xml:space="preserve">properties: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Parallel, not sequential.</w:t>
      </w:r>
      <w:r>
        <w:t xml:space="preserve"> </w:t>
      </w:r>
      <w:r>
        <w:t xml:space="preserve">Identity, policy, services, compute,</w:t>
      </w:r>
      <w:r>
        <w:t xml:space="preserve"> </w:t>
      </w:r>
      <w:r>
        <w:t xml:space="preserve">and access work in parallel streams. Waiting for one to finish</w:t>
      </w:r>
      <w:r>
        <w:t xml:space="preserve"> </w:t>
      </w:r>
      <w:r>
        <w:t xml:space="preserve">before starting the next doubles the program duration and produces</w:t>
      </w:r>
      <w:r>
        <w:t xml:space="preserve"> </w:t>
      </w:r>
      <w:r>
        <w:t xml:space="preserve">worse outcomes.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Gated, not open-ended.</w:t>
      </w:r>
      <w:r>
        <w:t xml:space="preserve"> </w:t>
      </w:r>
      <w:r>
        <w:t xml:space="preserve">Each phase has explicit entry and exit</w:t>
      </w:r>
      <w:r>
        <w:t xml:space="preserve"> </w:t>
      </w:r>
      <w:r>
        <w:t xml:space="preserve">criteria. A phase cannot start until the prior phase’s exit gate</w:t>
      </w:r>
      <w:r>
        <w:t xml:space="preserve"> </w:t>
      </w:r>
      <w:r>
        <w:t xml:space="preserve">clears. A phase cannot exit until its own criteria are green.</w:t>
      </w:r>
    </w:p>
    <w:p>
      <w:pPr>
        <w:pStyle w:val="FirstParagraph"/>
      </w:pPr>
      <w:r>
        <w:t xml:space="preserve">Total realistic duration for a mid-size federal agency (5,000–50,000</w:t>
      </w:r>
      <w:r>
        <w:t xml:space="preserve"> </w:t>
      </w:r>
      <w:r>
        <w:t xml:space="preserve">users, 500–5,000 servers):</w:t>
      </w:r>
      <w:r>
        <w:t xml:space="preserve"> </w:t>
      </w:r>
      <w:r>
        <w:rPr>
          <w:b/>
          <w:bCs/>
        </w:rPr>
        <w:t xml:space="preserve">~52 weeks</w:t>
      </w:r>
      <w:r>
        <w:t xml:space="preserve">, matching the Posted Master</w:t>
      </w:r>
      <w:r>
        <w:t xml:space="preserve"> </w:t>
      </w:r>
      <w:r>
        <w:t xml:space="preserve">Project Plan. Larger agencies extend; smaller agencies compress. The</w:t>
      </w:r>
      <w:r>
        <w:t xml:space="preserve"> </w:t>
      </w:r>
      <w:r>
        <w:t xml:space="preserve">phase structure doesn’t change with scale — only the per-phase</w:t>
      </w:r>
      <w:r>
        <w:t xml:space="preserve"> </w:t>
      </w:r>
      <w:r>
        <w:t xml:space="preserve">duration does.</w:t>
      </w:r>
    </w:p>
    <w:bookmarkEnd w:id="12"/>
    <w:bookmarkStart w:id="23" w:name="the-seven-phases"/>
    <w:p>
      <w:pPr>
        <w:pStyle w:val="Heading2"/>
      </w:pPr>
      <w:r>
        <w:t xml:space="preserve">The seven phases</w:t>
      </w:r>
    </w:p>
    <w:p>
      <w:pPr>
        <w:pStyle w:val="CaptionedFigure"/>
      </w:pPr>
      <w:r>
        <w:drawing>
          <wp:inline>
            <wp:extent cx="3810000" cy="2540000"/>
            <wp:effectExtent b="0" l="0" r="0" t="0"/>
            <wp:docPr descr="Migration roadmap timeline diagram showing six phases (Phase 0 Discovery…" title="" id="14" name="Picture"/>
            <a:graphic>
              <a:graphicData uri="http://schemas.openxmlformats.org/drawingml/2006/picture">
                <pic:pic>
                  <pic:nvPicPr>
                    <pic:cNvPr descr="images/09-migration-roadmap-image-03-migration-roadmap-timeline-diagr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Migration roadmap timeline diagram showing six phases (Phase 0 Discovery…</w:t>
      </w:r>
    </w:p>
    <w:bookmarkStart w:id="16" w:name="phase-0-pre-flight-weeks-1-4"/>
    <w:p>
      <w:pPr>
        <w:pStyle w:val="Heading3"/>
      </w:pPr>
      <w:r>
        <w:t xml:space="preserve">Phase 0 — Pre-flight (weeks 1-4)</w:t>
      </w:r>
    </w:p>
    <w:p>
      <w:pPr>
        <w:pStyle w:val="FirstParagraph"/>
      </w:pPr>
      <w:r>
        <w:rPr>
          <w:b/>
          <w:bCs/>
        </w:rPr>
        <w:t xml:space="preserve">Goal.</w:t>
      </w:r>
      <w:r>
        <w:t xml:space="preserve"> </w:t>
      </w:r>
      <w:r>
        <w:t xml:space="preserve">Produce the canonical planning artifacts and stand up the</w:t>
      </w:r>
      <w:r>
        <w:t xml:space="preserve"> </w:t>
      </w:r>
      <w:r>
        <w:t xml:space="preserve">platform server.</w:t>
      </w:r>
    </w:p>
    <w:p>
      <w:pPr>
        <w:pStyle w:val="BodyText"/>
      </w:pPr>
      <w:r>
        <w:t xml:space="preserve">Entry criteria (to start Phase 0):</w:t>
      </w:r>
      <w:r>
        <w:t xml:space="preserve"> </w:t>
      </w:r>
      <w:r>
        <w:t xml:space="preserve">- Executive sponsor named.</w:t>
      </w:r>
      <w:r>
        <w:t xml:space="preserve"> </w:t>
      </w:r>
      <w:r>
        <w:t xml:space="preserve">- Canon Steward appointed.</w:t>
      </w:r>
      <w:r>
        <w:t xml:space="preserve"> </w:t>
      </w:r>
      <w:r>
        <w:t xml:space="preserve">- Platform-server hardware or VM provisioned.</w:t>
      </w:r>
      <w:r>
        <w:t xml:space="preserve"> </w:t>
      </w:r>
      <w:r>
        <w:t xml:space="preserve">- AD read-only service account delegated.</w:t>
      </w:r>
    </w:p>
    <w:p>
      <w:pPr>
        <w:pStyle w:val="BodyText"/>
      </w:pPr>
      <w:r>
        <w:t xml:space="preserve">Work in Phase 0:</w:t>
      </w:r>
      <w:r>
        <w:t xml:space="preserve"> </w:t>
      </w:r>
      <w:r>
        <w:t xml:space="preserve">- Build the platform server (Chapter 01). Wall-clock: 1-2 weeks.</w:t>
      </w:r>
      <w:r>
        <w:t xml:space="preserve"> </w:t>
      </w:r>
      <w:r>
        <w:t xml:space="preserve">- Run the Tier-B AD assessment (Chapter 02). Wall-clock: 1 week.</w:t>
      </w:r>
      <w:r>
        <w:t xml:space="preserve"> </w:t>
      </w:r>
      <w:r>
        <w:t xml:space="preserve">- Author the initial OrgPath codebook (MOD_A). Wall-clock: 1 week.</w:t>
      </w:r>
      <w:r>
        <w:t xml:space="preserve"> </w:t>
      </w:r>
      <w:r>
        <w:t xml:space="preserve">- Stand up Gitea canonical repository with baseline canon files.</w:t>
      </w:r>
      <w:r>
        <w:t xml:space="preserve"> </w:t>
      </w:r>
      <w:r>
        <w:t xml:space="preserve">- Confirm Entra + Intune + Arc tenant access with least-privilege</w:t>
      </w:r>
      <w:r>
        <w:t xml:space="preserve"> </w:t>
      </w:r>
      <w:r>
        <w:t xml:space="preserve">service principals.</w:t>
      </w:r>
    </w:p>
    <w:p>
      <w:pPr>
        <w:pStyle w:val="BodyText"/>
      </w:pPr>
      <w:r>
        <w:t xml:space="preserve">Exit gate (Gate G0 — Ready to Plan):</w:t>
      </w:r>
      <w:r>
        <w:t xml:space="preserve"> </w:t>
      </w:r>
      <w:r>
        <w:t xml:space="preserve">- [ ] Platform server operational (Chapter 01 validation passed).</w:t>
      </w:r>
      <w:r>
        <w:t xml:space="preserve"> </w:t>
      </w:r>
      <w:r>
        <w:t xml:space="preserve">- [ ] Assessment run committed to Gitea.</w:t>
      </w:r>
      <w:r>
        <w:t xml:space="preserve"> </w:t>
      </w:r>
      <w:r>
        <w:t xml:space="preserve">- [ ] Draft OrgPath codebook in Gitea, steward-approved.</w:t>
      </w:r>
      <w:r>
        <w:t xml:space="preserve"> </w:t>
      </w:r>
      <w:r>
        <w:t xml:space="preserve">- [ ] Canon registry (MOD_A..Z index) in place.</w:t>
      </w:r>
      <w:r>
        <w:t xml:space="preserve"> </w:t>
      </w:r>
      <w:r>
        <w:t xml:space="preserve">- [ ] No open P1 findings from assessment.</w:t>
      </w:r>
    </w:p>
    <w:bookmarkEnd w:id="16"/>
    <w:bookmarkStart w:id="17" w:name="phase-1-foundation-weeks-5-8"/>
    <w:p>
      <w:pPr>
        <w:pStyle w:val="Heading3"/>
      </w:pPr>
      <w:r>
        <w:t xml:space="preserve">Phase 1 — Foundation (weeks 5-8)</w:t>
      </w:r>
    </w:p>
    <w:p>
      <w:pPr>
        <w:pStyle w:val="FirstParagraph"/>
      </w:pPr>
      <w:r>
        <w:rPr>
          <w:b/>
          <w:bCs/>
        </w:rPr>
        <w:t xml:space="preserve">Goal.</w:t>
      </w:r>
      <w:r>
        <w:t xml:space="preserve"> </w:t>
      </w:r>
      <w:r>
        <w:t xml:space="preserve">Put identity-substrate primitives in place before anything</w:t>
      </w:r>
      <w:r>
        <w:t xml:space="preserve"> </w:t>
      </w:r>
      <w:r>
        <w:t xml:space="preserve">else moves.</w:t>
      </w:r>
    </w:p>
    <w:p>
      <w:pPr>
        <w:pStyle w:val="BodyText"/>
      </w:pPr>
      <w:r>
        <w:t xml:space="preserve">Workstream outputs: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Identity.</w:t>
      </w:r>
      <w:r>
        <w:t xml:space="preserve"> </w:t>
      </w:r>
      <w:r>
        <w:t xml:space="preserve">Dynamic groups for Enterprise-level branches</w:t>
      </w:r>
      <w:r>
        <w:t xml:space="preserve"> </w:t>
      </w:r>
      <w:r>
        <w:t xml:space="preserve">(</w:t>
      </w:r>
      <w:r>
        <w:rPr>
          <w:rStyle w:val="VerbatimChar"/>
        </w:rPr>
        <w:t xml:space="preserve">OrgTree-Enterprise-Users</w:t>
      </w:r>
      <w:r>
        <w:t xml:space="preserve">,</w:t>
      </w:r>
      <w:r>
        <w:t xml:space="preserve"> </w:t>
      </w:r>
      <w:r>
        <w:rPr>
          <w:rStyle w:val="VerbatimChar"/>
        </w:rPr>
        <w:t xml:space="preserve">OrgTree-IT-Users</w:t>
      </w:r>
      <w:r>
        <w:t xml:space="preserve">, etc.).</w:t>
      </w:r>
      <w:r>
        <w:t xml:space="preserve"> </w:t>
      </w:r>
      <w:r>
        <w:t xml:space="preserve">Administrative Units for Tier-1 and selected Tier-2 scopes.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Policy.</w:t>
      </w:r>
      <w:r>
        <w:t xml:space="preserve"> </w:t>
      </w:r>
      <w:r>
        <w:t xml:space="preserve">Enterprise CA baseline (CA-100 series): MFA required</w:t>
      </w:r>
      <w:r>
        <w:t xml:space="preserve"> </w:t>
      </w:r>
      <w:r>
        <w:t xml:space="preserve">for all users, legacy auth blocked, break-glass carve-outs.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Services.</w:t>
      </w:r>
      <w:r>
        <w:t xml:space="preserve"> </w:t>
      </w:r>
      <w:r>
        <w:t xml:space="preserve">IPAM (DM_010) stood up with partial coverage —</w:t>
      </w:r>
      <w:r>
        <w:t xml:space="preserve"> </w:t>
      </w:r>
      <w:r>
        <w:t xml:space="preserve">enough to tag the platform server and Tier-0 infrastructure.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Compute.</w:t>
      </w:r>
      <w:r>
        <w:t xml:space="preserve"> </w:t>
      </w:r>
      <w:r>
        <w:t xml:space="preserve">Platform server Entra-registered; select server</w:t>
      </w:r>
      <w:r>
        <w:t xml:space="preserve"> </w:t>
      </w:r>
      <w:r>
        <w:t xml:space="preserve">pilots Arc-connected.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Access.</w:t>
      </w:r>
      <w:r>
        <w:t xml:space="preserve"> </w:t>
      </w:r>
      <w:r>
        <w:t xml:space="preserve">Platform-SSO configured; FIDO2 registration available</w:t>
      </w:r>
      <w:r>
        <w:t xml:space="preserve"> </w:t>
      </w:r>
      <w:r>
        <w:t xml:space="preserve">for Tier-0 admins.</w:t>
      </w:r>
    </w:p>
    <w:p>
      <w:pPr>
        <w:pStyle w:val="BodyText"/>
      </w:pPr>
      <w:r>
        <w:t xml:space="preserve">Exit gate (Gate G1 — Foundation Complete):</w:t>
      </w:r>
      <w:r>
        <w:t xml:space="preserve"> </w:t>
      </w:r>
      <w:r>
        <w:t xml:space="preserve">- [ ] Enterprise dynamic groups + AUs created and drift-clean.</w:t>
      </w:r>
      <w:r>
        <w:t xml:space="preserve"> </w:t>
      </w:r>
      <w:r>
        <w:t xml:space="preserve">- [ ] CA-100 enterprise baseline enforced; no MFA-exempt users.</w:t>
      </w:r>
      <w:r>
        <w:t xml:space="preserve"> </w:t>
      </w:r>
      <w:r>
        <w:t xml:space="preserve">- [ ] IPAM covers at least Tier-0 infrastructure.</w:t>
      </w:r>
      <w:r>
        <w:t xml:space="preserve"> </w:t>
      </w:r>
      <w:r>
        <w:t xml:space="preserve">- [ ] Drift engine reports zero findings across foundation scope.</w:t>
      </w:r>
      <w:r>
        <w:t xml:space="preserve"> </w:t>
      </w:r>
      <w:r>
        <w:t xml:space="preserve">- [ ] Break-glass accounts vaulted in CyberArk.</w:t>
      </w:r>
    </w:p>
    <w:bookmarkEnd w:id="17"/>
    <w:bookmarkStart w:id="18" w:name="phase-2-pilot-division-weeks-9-16"/>
    <w:p>
      <w:pPr>
        <w:pStyle w:val="Heading3"/>
      </w:pPr>
      <w:r>
        <w:t xml:space="preserve">Phase 2 — Pilot Division (weeks 9-16)</w:t>
      </w:r>
    </w:p>
    <w:p>
      <w:pPr>
        <w:pStyle w:val="FirstParagraph"/>
      </w:pPr>
      <w:r>
        <w:rPr>
          <w:b/>
          <w:bCs/>
        </w:rPr>
        <w:t xml:space="preserve">Goal.</w:t>
      </w:r>
      <w:r>
        <w:t xml:space="preserve"> </w:t>
      </w:r>
      <w:r>
        <w:t xml:space="preserve">Run one division through the full transformation as a</w:t>
      </w:r>
      <w:r>
        <w:t xml:space="preserve"> </w:t>
      </w:r>
      <w:r>
        <w:t xml:space="preserve">learning exercise, proving the pattern before general rollout.</w:t>
      </w:r>
    </w:p>
    <w:p>
      <w:pPr>
        <w:pStyle w:val="BodyText"/>
      </w:pPr>
      <w:r>
        <w:t xml:space="preserve">Typical pilot division: IT (highest tolerance for disruption, most</w:t>
      </w:r>
      <w:r>
        <w:t xml:space="preserve"> </w:t>
      </w:r>
      <w:r>
        <w:t xml:space="preserve">engaged with modernization).</w:t>
      </w:r>
    </w:p>
    <w:p>
      <w:pPr>
        <w:pStyle w:val="BodyText"/>
      </w:pPr>
      <w:r>
        <w:t xml:space="preserve">Workstream outputs for pilot: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Identity.</w:t>
      </w:r>
      <w:r>
        <w:t xml:space="preserve"> </w:t>
      </w:r>
      <w:r>
        <w:t xml:space="preserve">Pilot division OrgPath fully populated; dynamic</w:t>
      </w:r>
      <w:r>
        <w:t xml:space="preserve"> </w:t>
      </w:r>
      <w:r>
        <w:t xml:space="preserve">groups live; AUs scoped; role assignments delegated.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Policy.</w:t>
      </w:r>
      <w:r>
        <w:t xml:space="preserve"> </w:t>
      </w:r>
      <w:r>
        <w:t xml:space="preserve">Division-scoped CA (CA-200 series) + Intune</w:t>
      </w:r>
      <w:r>
        <w:t xml:space="preserve"> </w:t>
      </w:r>
      <w:r>
        <w:t xml:space="preserve">configuration + compliance policies applied. 3-4 GPOs retired.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Services.</w:t>
      </w:r>
      <w:r>
        <w:t xml:space="preserve"> </w:t>
      </w:r>
      <w:r>
        <w:t xml:space="preserve">Pilot division DNS zones migrated. DHCP scopes</w:t>
      </w:r>
      <w:r>
        <w:t xml:space="preserve"> </w:t>
      </w:r>
      <w:r>
        <w:t xml:space="preserve">re-homed. IPAM populated for division address space.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Compute.</w:t>
      </w:r>
      <w:r>
        <w:t xml:space="preserve"> </w:t>
      </w:r>
      <w:r>
        <w:t xml:space="preserve">Pilot PCs transition (greenfield via Autopilot for</w:t>
      </w:r>
      <w:r>
        <w:t xml:space="preserve"> </w:t>
      </w:r>
      <w:r>
        <w:t xml:space="preserve">new hardware; reset-and-re-enroll for refreshable legacy; hybrid</w:t>
      </w:r>
      <w:r>
        <w:t xml:space="preserve"> </w:t>
      </w:r>
      <w:r>
        <w:t xml:space="preserve">for the rest). Pilot servers Arc-connected.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Access.</w:t>
      </w:r>
      <w:r>
        <w:t xml:space="preserve"> </w:t>
      </w:r>
      <w:r>
        <w:t xml:space="preserve">Division users configured for CBA (where CAC holders</w:t>
      </w:r>
      <w:r>
        <w:t xml:space="preserve"> </w:t>
      </w:r>
      <w:r>
        <w:t xml:space="preserve">exist); SASE ZTNA in place for division apps.</w:t>
      </w:r>
    </w:p>
    <w:p>
      <w:pPr>
        <w:pStyle w:val="BodyText"/>
      </w:pPr>
      <w:r>
        <w:t xml:space="preserve">Exit gate (Gate G2 — Pilot Clean):</w:t>
      </w:r>
      <w:r>
        <w:t xml:space="preserve"> </w:t>
      </w:r>
      <w:r>
        <w:t xml:space="preserve">- [ ] Pilot division MOD_M drift zero for 14 consecutive days.</w:t>
      </w:r>
      <w:r>
        <w:t xml:space="preserve"> </w:t>
      </w:r>
      <w:r>
        <w:t xml:space="preserve">- [ ] Pilot division has zero AD-only users, zero Hybrid Joined PCs</w:t>
      </w:r>
      <w:r>
        <w:t xml:space="preserve"> </w:t>
      </w:r>
      <w:r>
        <w:t xml:space="preserve">that aren’t scheduled for full cut.</w:t>
      </w:r>
      <w:r>
        <w:t xml:space="preserve"> </w:t>
      </w:r>
      <w:r>
        <w:t xml:space="preserve">- [ ] Pilot ATO boundary re-evaluated; no new findings.</w:t>
      </w:r>
      <w:r>
        <w:t xml:space="preserve"> </w:t>
      </w:r>
      <w:r>
        <w:t xml:space="preserve">- [ ] Retrospective complete; lessons-learned doc committed.</w:t>
      </w:r>
      <w:r>
        <w:t xml:space="preserve"> </w:t>
      </w:r>
      <w:r>
        <w:t xml:space="preserve">- [ ] Per-phase runbook updates committed based on pilot experience.</w:t>
      </w:r>
    </w:p>
    <w:bookmarkEnd w:id="18"/>
    <w:bookmarkStart w:id="19" w:name="phase-3-general-rollout-weeks-17-36"/>
    <w:p>
      <w:pPr>
        <w:pStyle w:val="Heading3"/>
      </w:pPr>
      <w:r>
        <w:t xml:space="preserve">Phase 3 — General Rollout (weeks 17-36)</w:t>
      </w:r>
    </w:p>
    <w:p>
      <w:pPr>
        <w:pStyle w:val="FirstParagraph"/>
      </w:pPr>
      <w:r>
        <w:rPr>
          <w:b/>
          <w:bCs/>
        </w:rPr>
        <w:t xml:space="preserve">Goal.</w:t>
      </w:r>
      <w:r>
        <w:t xml:space="preserve"> </w:t>
      </w:r>
      <w:r>
        <w:t xml:space="preserve">Scale the pattern to every remaining division.</w:t>
      </w:r>
    </w:p>
    <w:p>
      <w:pPr>
        <w:pStyle w:val="BodyText"/>
      </w:pPr>
      <w:r>
        <w:t xml:space="preserve">This is the longest phase. Duration scales with division count:</w:t>
      </w:r>
      <w:r>
        <w:t xml:space="preserve"> </w:t>
      </w:r>
      <w:r>
        <w:t xml:space="preserve">budget ~2-3 weeks per division, running 2-3 divisions in parallel.</w:t>
      </w:r>
      <w:r>
        <w:t xml:space="preserve"> </w:t>
      </w:r>
      <w:r>
        <w:t xml:space="preserve">Large agencies may overlap divisions heavily; small agencies may</w:t>
      </w:r>
      <w:r>
        <w:t xml:space="preserve"> </w:t>
      </w:r>
      <w:r>
        <w:t xml:space="preserve">run strictly sequentially.</w:t>
      </w:r>
    </w:p>
    <w:p>
      <w:pPr>
        <w:pStyle w:val="BodyText"/>
      </w:pPr>
      <w:r>
        <w:t xml:space="preserve">Workstream cadence: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Weekly</w:t>
      </w:r>
      <w:r>
        <w:t xml:space="preserve"> </w:t>
      </w:r>
      <w:r>
        <w:t xml:space="preserve">— a steering-committee review of active divisions.</w:t>
      </w:r>
      <w:r>
        <w:t xml:space="preserve"> </w:t>
      </w:r>
      <w:r>
        <w:t xml:space="preserve">Each division reports green/yellow/red against its rollout plan.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Per division</w:t>
      </w:r>
      <w:r>
        <w:t xml:space="preserve"> </w:t>
      </w:r>
      <w:r>
        <w:t xml:space="preserve">— 4-phase sub-pattern: plan, pilot within</w:t>
      </w:r>
      <w:r>
        <w:t xml:space="preserve"> </w:t>
      </w:r>
      <w:r>
        <w:t xml:space="preserve">division, general-availability to the full division, drift-clean</w:t>
      </w:r>
      <w:r>
        <w:t xml:space="preserve"> </w:t>
      </w:r>
      <w:r>
        <w:t xml:space="preserve">hold.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Parallel</w:t>
      </w:r>
      <w:r>
        <w:t xml:space="preserve"> </w:t>
      </w:r>
      <w:r>
        <w:t xml:space="preserve">— Chapters 04-08 content flows for each division</w:t>
      </w:r>
      <w:r>
        <w:t xml:space="preserve"> </w:t>
      </w:r>
      <w:r>
        <w:t xml:space="preserve">concurrently; canon is shared.</w:t>
      </w:r>
    </w:p>
    <w:p>
      <w:pPr>
        <w:pStyle w:val="BodyText"/>
      </w:pPr>
      <w:r>
        <w:t xml:space="preserve">Exit gate (Gate G3 — Rollout Complete):</w:t>
      </w:r>
      <w:r>
        <w:t xml:space="preserve"> </w:t>
      </w:r>
      <w:r>
        <w:t xml:space="preserve">- [ ] Every in-scope division has passed its division-level</w:t>
      </w:r>
      <w:r>
        <w:t xml:space="preserve"> </w:t>
      </w:r>
      <w:r>
        <w:t xml:space="preserve">exit gate.</w:t>
      </w:r>
      <w:r>
        <w:t xml:space="preserve"> </w:t>
      </w:r>
      <w:r>
        <w:t xml:space="preserve">- [ ] Every HR-listed employee has a valid OrgPath.</w:t>
      </w:r>
      <w:r>
        <w:t xml:space="preserve"> </w:t>
      </w:r>
      <w:r>
        <w:t xml:space="preserve">- [ ] Every user PC is Entra Joined or in a documented exception.</w:t>
      </w:r>
      <w:r>
        <w:t xml:space="preserve"> </w:t>
      </w:r>
      <w:r>
        <w:t xml:space="preserve">- [ ] Every server is Arc-connected or in a documented exception.</w:t>
      </w:r>
      <w:r>
        <w:t xml:space="preserve"> </w:t>
      </w:r>
      <w:r>
        <w:t xml:space="preserve">- [ ] Drift engine reports zero cross-division drift.</w:t>
      </w:r>
    </w:p>
    <w:bookmarkEnd w:id="19"/>
    <w:bookmarkStart w:id="20" w:name="phase-4-legacy-retirement-weeks-37-44"/>
    <w:p>
      <w:pPr>
        <w:pStyle w:val="Heading3"/>
      </w:pPr>
      <w:r>
        <w:t xml:space="preserve">Phase 4 — Legacy Retirement (weeks 37-44)</w:t>
      </w:r>
    </w:p>
    <w:p>
      <w:pPr>
        <w:pStyle w:val="FirstParagraph"/>
      </w:pPr>
      <w:r>
        <w:rPr>
          <w:b/>
          <w:bCs/>
        </w:rPr>
        <w:t xml:space="preserve">Goal.</w:t>
      </w:r>
      <w:r>
        <w:t xml:space="preserve"> </w:t>
      </w:r>
      <w:r>
        <w:t xml:space="preserve">Systematically retire legacy infrastructure: GPOs, OU</w:t>
      </w:r>
      <w:r>
        <w:t xml:space="preserve"> </w:t>
      </w:r>
      <w:r>
        <w:t xml:space="preserve">security groups, AD-integrated DNS, AD-joined DHCP, ADCS smart-card</w:t>
      </w:r>
      <w:r>
        <w:t xml:space="preserve"> </w:t>
      </w:r>
      <w:r>
        <w:t xml:space="preserve">logon configuration, SPN-bound legacy apps.</w:t>
      </w:r>
    </w:p>
    <w:p>
      <w:pPr>
        <w:pStyle w:val="BodyText"/>
      </w:pPr>
      <w:r>
        <w:t xml:space="preserve">Retirement is governed: each artifact has a retirement plan with</w:t>
      </w:r>
      <w:r>
        <w:t xml:space="preserve"> </w:t>
      </w:r>
      <w:r>
        <w:t xml:space="preserve">its own entry/exit criteria, and the retirement action is a</w:t>
      </w:r>
      <w:r>
        <w:t xml:space="preserve"> </w:t>
      </w:r>
      <w:r>
        <w:t xml:space="preserve">Plan-stage action with explicit steward approval.</w:t>
      </w:r>
    </w:p>
    <w:p>
      <w:pPr>
        <w:pStyle w:val="BodyText"/>
      </w:pPr>
      <w:r>
        <w:t xml:space="preserve">Retirement sequence (typical):</w:t>
      </w:r>
      <w:r>
        <w:t xml:space="preserve"> </w:t>
      </w:r>
      <w:r>
        <w:t xml:space="preserve">1. Retire redundant GPOs (GPOs migrated to Intune).</w:t>
      </w:r>
      <w:r>
        <w:t xml:space="preserve"> </w:t>
      </w:r>
      <w:r>
        <w:t xml:space="preserve">2. Retire OU-based security groups (membership superseded by</w:t>
      </w:r>
      <w:r>
        <w:t xml:space="preserve"> </w:t>
      </w:r>
      <w:r>
        <w:t xml:space="preserve">dynamic groups).</w:t>
      </w:r>
      <w:r>
        <w:t xml:space="preserve"> </w:t>
      </w:r>
      <w:r>
        <w:t xml:space="preserve">3. Retire AD-integrated DNS zones one at a time.</w:t>
      </w:r>
      <w:r>
        <w:t xml:space="preserve"> </w:t>
      </w:r>
      <w:r>
        <w:t xml:space="preserve">4. Retire AD-joined DHCP authority.</w:t>
      </w:r>
      <w:r>
        <w:t xml:space="preserve"> </w:t>
      </w:r>
      <w:r>
        <w:t xml:space="preserve">5. Retire ADCS smart-card logon GPO configuration.</w:t>
      </w:r>
      <w:r>
        <w:t xml:space="preserve"> </w:t>
      </w:r>
      <w:r>
        <w:t xml:space="preserve">6. Retire remaining AD-bound SPNs (application-by-application).</w:t>
      </w:r>
    </w:p>
    <w:p>
      <w:pPr>
        <w:pStyle w:val="BodyText"/>
      </w:pPr>
      <w:r>
        <w:t xml:space="preserve">Exit gate (Gate G4 — Legacy Quiet):</w:t>
      </w:r>
      <w:r>
        <w:t xml:space="preserve"> </w:t>
      </w:r>
      <w:r>
        <w:t xml:space="preserve">- [ ] No active GPOs other than the minimum Kerberos-island set.</w:t>
      </w:r>
      <w:r>
        <w:t xml:space="preserve"> </w:t>
      </w:r>
      <w:r>
        <w:t xml:space="preserve">- [ ] No AD-based dynamic / static-membership security groups in</w:t>
      </w:r>
      <w:r>
        <w:t xml:space="preserve"> </w:t>
      </w:r>
      <w:r>
        <w:t xml:space="preserve">active use.</w:t>
      </w:r>
      <w:r>
        <w:t xml:space="preserve"> </w:t>
      </w:r>
      <w:r>
        <w:t xml:space="preserve">- [ ] Zero AD-integrated DNS zones.</w:t>
      </w:r>
      <w:r>
        <w:t xml:space="preserve"> </w:t>
      </w:r>
      <w:r>
        <w:t xml:space="preserve">- [ ] ADCS retained only for issuance, not for smart-card logon.</w:t>
      </w:r>
      <w:r>
        <w:t xml:space="preserve"> </w:t>
      </w:r>
      <w:r>
        <w:t xml:space="preserve">- [ ] SPN map shows all migrated/retired/islanded — no</w:t>
      </w:r>
      <w:r>
        <w:t xml:space="preserve"> </w:t>
      </w:r>
      <w:r>
        <w:t xml:space="preserve">unresolved SPNs.</w:t>
      </w:r>
      <w:r>
        <w:t xml:space="preserve"> </w:t>
      </w:r>
      <w:r>
        <w:t xml:space="preserve">- [ ] AD authentication rate &lt; 5% of peak-migration rate (most</w:t>
      </w:r>
      <w:r>
        <w:t xml:space="preserve"> </w:t>
      </w:r>
      <w:r>
        <w:t xml:space="preserve">auth has moved to Entra).</w:t>
      </w:r>
    </w:p>
    <w:bookmarkEnd w:id="20"/>
    <w:bookmarkStart w:id="21" w:name="phase-5-ad-ds-retirement-weeks-45-48"/>
    <w:p>
      <w:pPr>
        <w:pStyle w:val="Heading3"/>
      </w:pPr>
      <w:r>
        <w:t xml:space="preserve">Phase 5 — AD DS Retirement (weeks 45-48)</w:t>
      </w:r>
    </w:p>
    <w:p>
      <w:pPr>
        <w:pStyle w:val="FirstParagraph"/>
      </w:pPr>
      <w:r>
        <w:rPr>
          <w:b/>
          <w:bCs/>
        </w:rPr>
        <w:t xml:space="preserve">Goal.</w:t>
      </w:r>
      <w:r>
        <w:t xml:space="preserve"> </w:t>
      </w:r>
      <w:r>
        <w:t xml:space="preserve">Shut down Active Directory Domain Services.</w:t>
      </w:r>
    </w:p>
    <w:p>
      <w:pPr>
        <w:pStyle w:val="BodyText"/>
      </w:pPr>
      <w:r>
        <w:t xml:space="preserve">This is the shortest phase of the program because the work was done</w:t>
      </w:r>
      <w:r>
        <w:t xml:space="preserve"> </w:t>
      </w:r>
      <w:r>
        <w:t xml:space="preserve">in Phases 0-4. Phase 5 is the mechanical teardown.</w:t>
      </w:r>
    </w:p>
    <w:p>
      <w:pPr>
        <w:pStyle w:val="BodyText"/>
      </w:pPr>
      <w:r>
        <w:t xml:space="preserve">Sequence:</w:t>
      </w:r>
      <w:r>
        <w:t xml:space="preserve"> </w:t>
      </w:r>
      <w:r>
        <w:t xml:space="preserve">1. Freeze AD changes (canon change protocol enforcement).</w:t>
      </w:r>
      <w:r>
        <w:t xml:space="preserve"> </w:t>
      </w:r>
      <w:r>
        <w:t xml:space="preserve">2. Final forest assessment + evidence packet.</w:t>
      </w:r>
      <w:r>
        <w:t xml:space="preserve"> </w:t>
      </w:r>
      <w:r>
        <w:t xml:space="preserve">3. Demote non-FSMO DCs.</w:t>
      </w:r>
      <w:r>
        <w:t xml:space="preserve"> </w:t>
      </w:r>
      <w:r>
        <w:t xml:space="preserve">4. Transfer FSMO roles to the designated survivor (if any — some</w:t>
      </w:r>
      <w:r>
        <w:t xml:space="preserve"> </w:t>
      </w:r>
      <w:r>
        <w:t xml:space="preserve">agencies retain a Kerberos island).</w:t>
      </w:r>
      <w:r>
        <w:t xml:space="preserve"> </w:t>
      </w:r>
      <w:r>
        <w:t xml:space="preserve">5. Demote remaining DCs (or isolate if Kerberos island retained).</w:t>
      </w:r>
      <w:r>
        <w:t xml:space="preserve"> </w:t>
      </w:r>
      <w:r>
        <w:t xml:space="preserve">6. Decommission VMs + retire forest objects in backup.</w:t>
      </w:r>
      <w:r>
        <w:t xml:space="preserve"> </w:t>
      </w:r>
      <w:r>
        <w:t xml:space="preserve">7. Final provenance commit:</w:t>
      </w:r>
      <w:r>
        <w:t xml:space="preserve"> </w:t>
      </w:r>
      <w:r>
        <w:t xml:space="preserve">“forest X retired on date Y per</w:t>
      </w:r>
      <w:r>
        <w:t xml:space="preserve"> </w:t>
      </w:r>
      <w:r>
        <w:t xml:space="preserve">evidence packet Z.”</w:t>
      </w:r>
    </w:p>
    <w:p>
      <w:pPr>
        <w:pStyle w:val="BodyText"/>
      </w:pPr>
      <w:r>
        <w:t xml:space="preserve">Exit gate (Gate G5 — AD Retired):</w:t>
      </w:r>
      <w:r>
        <w:t xml:space="preserve"> </w:t>
      </w:r>
      <w:r>
        <w:t xml:space="preserve">- [ ] DCs decommissioned or explicitly retained as documented</w:t>
      </w:r>
      <w:r>
        <w:t xml:space="preserve"> </w:t>
      </w:r>
      <w:r>
        <w:t xml:space="preserve">Kerberos island.</w:t>
      </w:r>
      <w:r>
        <w:t xml:space="preserve"> </w:t>
      </w:r>
      <w:r>
        <w:t xml:space="preserve">- [ ] Evidence packet committed to Gitea + SIEM.</w:t>
      </w:r>
      <w:r>
        <w:t xml:space="preserve"> </w:t>
      </w:r>
      <w:r>
        <w:t xml:space="preserve">- [ ] No live production dependency on AD authentication.</w:t>
      </w:r>
    </w:p>
    <w:bookmarkEnd w:id="21"/>
    <w:bookmarkStart w:id="22" w:name="phase-6-steady-state-week-49"/>
    <w:p>
      <w:pPr>
        <w:pStyle w:val="Heading3"/>
      </w:pPr>
      <w:r>
        <w:t xml:space="preserve">Phase 6 — Steady State (week 49+)</w:t>
      </w:r>
    </w:p>
    <w:p>
      <w:pPr>
        <w:pStyle w:val="FirstParagraph"/>
      </w:pPr>
      <w:r>
        <w:rPr>
          <w:b/>
          <w:bCs/>
        </w:rPr>
        <w:t xml:space="preserve">Goal.</w:t>
      </w:r>
      <w:r>
        <w:t xml:space="preserve"> </w:t>
      </w:r>
      <w:r>
        <w:t xml:space="preserve">Operate the modernized environment under canon governance.</w:t>
      </w:r>
    </w:p>
    <w:p>
      <w:pPr>
        <w:pStyle w:val="BodyText"/>
      </w:pPr>
      <w:r>
        <w:t xml:space="preserve">Steady state is the permanent post-modernization state. It has</w:t>
      </w:r>
      <w:r>
        <w:t xml:space="preserve"> </w:t>
      </w:r>
      <w:r>
        <w:t xml:space="preserve">properties: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Assessments run nightly</w:t>
      </w:r>
      <w:r>
        <w:t xml:space="preserve"> </w:t>
      </w:r>
      <w:r>
        <w:t xml:space="preserve">(Chapter 02).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Plans generated and authorized</w:t>
      </w:r>
      <w:r>
        <w:t xml:space="preserve"> </w:t>
      </w:r>
      <w:r>
        <w:t xml:space="preserve">on change-driven and scheduled</w:t>
      </w:r>
      <w:r>
        <w:t xml:space="preserve"> </w:t>
      </w:r>
      <w:r>
        <w:t xml:space="preserve">cadences (Chapter 03).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Drift detected + resolved</w:t>
      </w:r>
      <w:r>
        <w:t xml:space="preserve"> </w:t>
      </w:r>
      <w:r>
        <w:t xml:space="preserve">within MOD_Q SLAs.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Evidence packets emitted</w:t>
      </w:r>
      <w:r>
        <w:t xml:space="preserve"> </w:t>
      </w:r>
      <w:r>
        <w:t xml:space="preserve">per delivery.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Continuous monitoring feeds</w:t>
      </w:r>
      <w:r>
        <w:t xml:space="preserve"> </w:t>
      </w:r>
      <w:r>
        <w:t xml:space="preserve">FedRAMP ConMon + SCuBA pipelines.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Canon changes flow via PR</w:t>
      </w:r>
      <w:r>
        <w:t xml:space="preserve"> </w:t>
      </w:r>
      <w:r>
        <w:t xml:space="preserve">per MOD_V.</w:t>
      </w:r>
    </w:p>
    <w:p>
      <w:pPr>
        <w:pStyle w:val="FirstParagraph"/>
      </w:pPr>
      <w:r>
        <w:t xml:space="preserve">Exit criteria: none. Phase 6 continues indefinitely. Periodic</w:t>
      </w:r>
      <w:r>
        <w:t xml:space="preserve"> </w:t>
      </w:r>
      <w:r>
        <w:t xml:space="preserve">retrospectives (quarterly) confirm the canon matches agency intent.</w:t>
      </w:r>
    </w:p>
    <w:bookmarkEnd w:id="22"/>
    <w:bookmarkEnd w:id="23"/>
    <w:bookmarkStart w:id="24" w:name="the-five-parallel-workstreams"/>
    <w:p>
      <w:pPr>
        <w:pStyle w:val="Heading2"/>
      </w:pPr>
      <w:r>
        <w:t xml:space="preserve">The five parallel workstreams</w:t>
      </w:r>
    </w:p>
    <w:p>
      <w:pPr>
        <w:pStyle w:val="FirstParagraph"/>
      </w:pPr>
      <w:r>
        <w:t xml:space="preserve">During Phases 2-4, five workstreams run in parallel with explicit</w:t>
      </w:r>
      <w:r>
        <w:t xml:space="preserve"> </w:t>
      </w:r>
      <w:r>
        <w:t xml:space="preserve">coordination points: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Workstream</w:t>
            </w:r>
          </w:p>
        </w:tc>
        <w:tc>
          <w:tcPr/>
          <w:p>
            <w:pPr>
              <w:pStyle w:val="Compact"/>
            </w:pPr>
            <w:r>
              <w:t xml:space="preserve">Lead</w:t>
            </w:r>
          </w:p>
        </w:tc>
        <w:tc>
          <w:tcPr/>
          <w:p>
            <w:pPr>
              <w:pStyle w:val="Compact"/>
            </w:pPr>
            <w:r>
              <w:t xml:space="preserve">Chapter</w:t>
            </w:r>
          </w:p>
        </w:tc>
        <w:tc>
          <w:tcPr/>
          <w:p>
            <w:pPr>
              <w:pStyle w:val="Compact"/>
            </w:pPr>
            <w:r>
              <w:t xml:space="preserve">Key artifacts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Identity</w:t>
            </w:r>
          </w:p>
        </w:tc>
        <w:tc>
          <w:tcPr/>
          <w:p>
            <w:pPr>
              <w:pStyle w:val="Compact"/>
            </w:pPr>
            <w:r>
              <w:t xml:space="preserve">Identity Architect</w:t>
            </w:r>
          </w:p>
        </w:tc>
        <w:tc>
          <w:tcPr/>
          <w:p>
            <w:pPr>
              <w:pStyle w:val="Compact"/>
            </w:pPr>
            <w:r>
              <w:t xml:space="preserve">04</w:t>
            </w:r>
          </w:p>
        </w:tc>
        <w:tc>
          <w:tcPr/>
          <w:p>
            <w:pPr>
              <w:pStyle w:val="Compact"/>
            </w:pPr>
            <w:r>
              <w:t xml:space="preserve">OrgPath codebook, dynamic groups, AUs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Security Engineer</w:t>
            </w:r>
          </w:p>
        </w:tc>
        <w:tc>
          <w:tcPr/>
          <w:p>
            <w:pPr>
              <w:pStyle w:val="Compact"/>
            </w:pPr>
            <w:r>
              <w:t xml:space="preserve">05</w:t>
            </w:r>
          </w:p>
        </w:tc>
        <w:tc>
          <w:tcPr/>
          <w:p>
            <w:pPr>
              <w:pStyle w:val="Compact"/>
            </w:pPr>
            <w:r>
              <w:t xml:space="preserve">Intune configs, CA policies, Arc Guest Config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Services</w:t>
            </w:r>
          </w:p>
        </w:tc>
        <w:tc>
          <w:tcPr/>
          <w:p>
            <w:pPr>
              <w:pStyle w:val="Compact"/>
            </w:pPr>
            <w:r>
              <w:t xml:space="preserve">Network Engineer</w:t>
            </w:r>
          </w:p>
        </w:tc>
        <w:tc>
          <w:tcPr/>
          <w:p>
            <w:pPr>
              <w:pStyle w:val="Compact"/>
            </w:pPr>
            <w:r>
              <w:t xml:space="preserve">06</w:t>
            </w:r>
          </w:p>
        </w:tc>
        <w:tc>
          <w:tcPr/>
          <w:p>
            <w:pPr>
              <w:pStyle w:val="Compact"/>
            </w:pPr>
            <w:r>
              <w:t xml:space="preserve">DNS, DHCP, IPAM adapters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Compute</w:t>
            </w:r>
          </w:p>
        </w:tc>
        <w:tc>
          <w:tcPr/>
          <w:p>
            <w:pPr>
              <w:pStyle w:val="Compact"/>
            </w:pPr>
            <w:r>
              <w:t xml:space="preserve">Endpoint Admin + Server Eng</w:t>
            </w:r>
          </w:p>
        </w:tc>
        <w:tc>
          <w:tcPr/>
          <w:p>
            <w:pPr>
              <w:pStyle w:val="Compact"/>
            </w:pPr>
            <w:r>
              <w:t xml:space="preserve">07</w:t>
            </w:r>
          </w:p>
        </w:tc>
        <w:tc>
          <w:tcPr/>
          <w:p>
            <w:pPr>
              <w:pStyle w:val="Compact"/>
            </w:pPr>
            <w:r>
              <w:t xml:space="preserve">Device enrollments, Arc projections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Access</w:t>
            </w:r>
          </w:p>
        </w:tc>
        <w:tc>
          <w:tcPr/>
          <w:p>
            <w:pPr>
              <w:pStyle w:val="Compact"/>
            </w:pPr>
            <w:r>
              <w:t xml:space="preserve">Identity + Security jointly</w:t>
            </w:r>
          </w:p>
        </w:tc>
        <w:tc>
          <w:tcPr/>
          <w:p>
            <w:pPr>
              <w:pStyle w:val="Compact"/>
            </w:pPr>
            <w:r>
              <w:t xml:space="preserve">08</w:t>
            </w:r>
          </w:p>
        </w:tc>
        <w:tc>
          <w:tcPr/>
          <w:p>
            <w:pPr>
              <w:pStyle w:val="Compact"/>
            </w:pPr>
            <w:r>
              <w:t xml:space="preserve">SASE, CBA, PAM, MFA</w:t>
            </w:r>
          </w:p>
        </w:tc>
      </w:tr>
    </w:tbl>
    <w:p>
      <w:pPr>
        <w:pStyle w:val="BodyText"/>
      </w:pPr>
      <w:r>
        <w:t xml:space="preserve">Workstreams are not independent. Every week, a</w:t>
      </w:r>
      <w:r>
        <w:t xml:space="preserve"> </w:t>
      </w:r>
      <w:r>
        <w:rPr>
          <w:b/>
          <w:bCs/>
        </w:rPr>
        <w:t xml:space="preserve">cross-workstream</w:t>
      </w:r>
      <w:r>
        <w:rPr>
          <w:b/>
          <w:bCs/>
        </w:rPr>
        <w:t xml:space="preserve"> </w:t>
      </w:r>
      <w:r>
        <w:rPr>
          <w:b/>
          <w:bCs/>
        </w:rPr>
        <w:t xml:space="preserve">sync</w:t>
      </w:r>
      <w:r>
        <w:t xml:space="preserve"> </w:t>
      </w:r>
      <w:r>
        <w:t xml:space="preserve">identifies the per-division blockers and resequences work</w:t>
      </w:r>
      <w:r>
        <w:t xml:space="preserve"> </w:t>
      </w:r>
      <w:r>
        <w:t xml:space="preserve">where dependencies exist (e.g., compute migration can’t proceed in a</w:t>
      </w:r>
      <w:r>
        <w:t xml:space="preserve"> </w:t>
      </w:r>
      <w:r>
        <w:t xml:space="preserve">division until its CA policies are in place).</w:t>
      </w:r>
    </w:p>
    <w:bookmarkEnd w:id="24"/>
    <w:bookmarkStart w:id="25" w:name="gate-criteria-mechanical-not-subjective"/>
    <w:p>
      <w:pPr>
        <w:pStyle w:val="Heading2"/>
      </w:pPr>
      <w:r>
        <w:t xml:space="preserve">Gate criteria — mechanical, not subjective</w:t>
      </w:r>
    </w:p>
    <w:p>
      <w:pPr>
        <w:pStyle w:val="FirstParagraph"/>
      </w:pPr>
      <w:r>
        <w:t xml:space="preserve">Every gate criterion in this chapter is mechanically evaluable from</w:t>
      </w:r>
      <w:r>
        <w:t xml:space="preserve"> </w:t>
      </w:r>
      <w:r>
        <w:t xml:space="preserve">Gitea canon + drift-engine reports. Examples: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“Zero drift for 14 consecutive days”</w:t>
      </w:r>
      <w:r>
        <w:t xml:space="preserve"> </w:t>
      </w:r>
      <w:r>
        <w:t xml:space="preserve">→ MOD_M report filtered</w:t>
      </w:r>
      <w:r>
        <w:t xml:space="preserve"> </w:t>
      </w:r>
      <w:r>
        <w:t xml:space="preserve">by scope + date range.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“Every HR-listed employee has a valid OrgPath”</w:t>
      </w:r>
      <w:r>
        <w:t xml:space="preserve"> </w:t>
      </w:r>
      <w:r>
        <w:t xml:space="preserve">→ SQL-like query</w:t>
      </w:r>
      <w:r>
        <w:t xml:space="preserve"> </w:t>
      </w:r>
      <w:r>
        <w:t xml:space="preserve">against the canonical user table.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“Every user PC is Entra Joined”</w:t>
      </w:r>
      <w:r>
        <w:t xml:space="preserve"> </w:t>
      </w:r>
      <w:r>
        <w:t xml:space="preserve">→ device inventory query.</w:t>
      </w:r>
    </w:p>
    <w:p>
      <w:pPr>
        <w:pStyle w:val="FirstParagraph"/>
      </w:pPr>
      <w:r>
        <w:t xml:space="preserve">Gates are never passed on executive signature alone. The engine</w:t>
      </w:r>
      <w:r>
        <w:t xml:space="preserve"> </w:t>
      </w:r>
      <w:r>
        <w:t xml:space="preserve">reports green; the steward concurs; the PR merges. A gate that the</w:t>
      </w:r>
      <w:r>
        <w:t xml:space="preserve"> </w:t>
      </w:r>
      <w:r>
        <w:t xml:space="preserve">engine cannot evaluate is a gate that needs a better criterion.</w:t>
      </w:r>
    </w:p>
    <w:bookmarkEnd w:id="25"/>
    <w:bookmarkStart w:id="26" w:name="rollback-triggers"/>
    <w:p>
      <w:pPr>
        <w:pStyle w:val="Heading2"/>
      </w:pPr>
      <w:r>
        <w:t xml:space="preserve">Rollback triggers</w:t>
      </w:r>
    </w:p>
    <w:p>
      <w:pPr>
        <w:pStyle w:val="FirstParagraph"/>
      </w:pPr>
      <w:r>
        <w:t xml:space="preserve">Every phase has defined rollback triggers — conditions that halt</w:t>
      </w:r>
      <w:r>
        <w:t xml:space="preserve"> </w:t>
      </w:r>
      <w:r>
        <w:t xml:space="preserve">progress and revert to the prior phase’s state. Triggers are</w:t>
      </w:r>
      <w:r>
        <w:t xml:space="preserve"> </w:t>
      </w:r>
      <w:r>
        <w:t xml:space="preserve">not subjective; they are thresholded.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Trigger</w:t>
            </w:r>
          </w:p>
        </w:tc>
        <w:tc>
          <w:tcPr/>
          <w:p>
            <w:pPr>
              <w:pStyle w:val="Compact"/>
            </w:pPr>
            <w:r>
              <w:t xml:space="preserve">Scope</w:t>
            </w:r>
          </w:p>
        </w:tc>
        <w:tc>
          <w:tcPr/>
          <w:p>
            <w:pPr>
              <w:pStyle w:val="Compac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MOD_M drift &gt; threshold X for &gt; 24 hours</w:t>
            </w:r>
          </w:p>
        </w:tc>
        <w:tc>
          <w:tcPr/>
          <w:p>
            <w:pPr>
              <w:pStyle w:val="Compact"/>
            </w:pPr>
            <w:r>
              <w:t xml:space="preserve">phase-wide</w:t>
            </w:r>
          </w:p>
        </w:tc>
        <w:tc>
          <w:tcPr/>
          <w:p>
            <w:pPr>
              <w:pStyle w:val="Compact"/>
            </w:pPr>
            <w:r>
              <w:t xml:space="preserve">Halt phase; investigate; no new deliveries until clean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 policy blocks &gt; Y% of legitimate sign-ins</w:t>
            </w:r>
          </w:p>
        </w:tc>
        <w:tc>
          <w:tcPr/>
          <w:p>
            <w:pPr>
              <w:pStyle w:val="Compact"/>
            </w:pPr>
            <w:r>
              <w:t xml:space="preserve">enterprise</w:t>
            </w:r>
          </w:p>
        </w:tc>
        <w:tc>
          <w:tcPr/>
          <w:p>
            <w:pPr>
              <w:pStyle w:val="Compact"/>
            </w:pPr>
            <w:r>
              <w:t xml:space="preserve">Revert CA policy; investigate; authorize replacement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Drift engine itself fails to report</w:t>
            </w:r>
          </w:p>
        </w:tc>
        <w:tc>
          <w:tcPr/>
          <w:p>
            <w:pPr>
              <w:pStyle w:val="Compact"/>
            </w:pPr>
            <w:r>
              <w:t xml:space="preserve">platform</w:t>
            </w:r>
          </w:p>
        </w:tc>
        <w:tc>
          <w:tcPr/>
          <w:p>
            <w:pPr>
              <w:pStyle w:val="Compact"/>
            </w:pPr>
            <w:r>
              <w:t xml:space="preserve">Escalate per MOD_Q; halt all phase work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 packet fails signature validation</w:t>
            </w:r>
          </w:p>
        </w:tc>
        <w:tc>
          <w:tcPr/>
          <w:p>
            <w:pPr>
              <w:pStyle w:val="Compact"/>
            </w:pPr>
            <w:r>
              <w:t xml:space="preserve">any delivery</w:t>
            </w:r>
          </w:p>
        </w:tc>
        <w:tc>
          <w:tcPr/>
          <w:p>
            <w:pPr>
              <w:pStyle w:val="Compact"/>
            </w:pPr>
            <w:r>
              <w:t xml:space="preserve">Halt; forensic investigation; restore from last known-good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SLA-breach on P1 finding</w:t>
            </w:r>
          </w:p>
        </w:tc>
        <w:tc>
          <w:tcPr/>
          <w:p>
            <w:pPr>
              <w:pStyle w:val="Compact"/>
            </w:pPr>
            <w:r>
              <w:t xml:space="preserve">any scope</w:t>
            </w:r>
          </w:p>
        </w:tc>
        <w:tc>
          <w:tcPr/>
          <w:p>
            <w:pPr>
              <w:pStyle w:val="Compact"/>
            </w:pPr>
            <w:r>
              <w:t xml:space="preserve">Escalate per MOD_Q Tier 1; steward + sponsor notified</w:t>
            </w:r>
          </w:p>
        </w:tc>
      </w:tr>
    </w:tbl>
    <w:p>
      <w:pPr>
        <w:pStyle w:val="BodyText"/>
      </w:pPr>
      <w:r>
        <w:t xml:space="preserve">Rollback is operationally expensive, so the gate design is meant to</w:t>
      </w:r>
      <w:r>
        <w:t xml:space="preserve"> </w:t>
      </w:r>
      <w:r>
        <w:t xml:space="preserve">prevent the need for it. Pilot phases catch what would otherwise</w:t>
      </w:r>
      <w:r>
        <w:t xml:space="preserve"> </w:t>
      </w:r>
      <w:r>
        <w:t xml:space="preserve">become rollback events later.</w:t>
      </w:r>
    </w:p>
    <w:bookmarkEnd w:id="26"/>
    <w:bookmarkStart w:id="27" w:name="decision-authority-at-each-gate"/>
    <w:p>
      <w:pPr>
        <w:pStyle w:val="Heading2"/>
      </w:pPr>
      <w:r>
        <w:t xml:space="preserve">Decision authority at each gate</w:t>
      </w:r>
    </w:p>
    <w:p>
      <w:pPr>
        <w:pStyle w:val="FirstParagraph"/>
      </w:pPr>
      <w:r>
        <w:t xml:space="preserve">Not every gate is a Canon Steward decision. The program defines</w:t>
      </w:r>
      <w:r>
        <w:t xml:space="preserve"> </w:t>
      </w:r>
      <w:r>
        <w:t xml:space="preserve">decision authority per gate: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Gate</w:t>
            </w:r>
          </w:p>
        </w:tc>
        <w:tc>
          <w:tcPr/>
          <w:p>
            <w:pPr>
              <w:pStyle w:val="Compact"/>
            </w:pPr>
            <w:r>
              <w:t xml:space="preserve">Authority</w:t>
            </w:r>
          </w:p>
        </w:tc>
        <w:tc>
          <w:tcPr/>
          <w:p>
            <w:pPr>
              <w:pStyle w:val="Compact"/>
            </w:pPr>
            <w:r>
              <w:t xml:space="preserve">Backup</w:t>
            </w:r>
          </w:p>
        </w:tc>
      </w:tr>
      <w:tr>
        <w:tc>
          <w:tcPr/>
          <w:p>
            <w:pPr>
              <w:pStyle w:val="Compact"/>
            </w:pPr>
            <w:r>
              <w:t xml:space="preserve">G0 — Ready to Plan</w:t>
            </w:r>
          </w:p>
        </w:tc>
        <w:tc>
          <w:tcPr/>
          <w:p>
            <w:pPr>
              <w:pStyle w:val="Compact"/>
            </w:pPr>
            <w:r>
              <w:t xml:space="preserve">Canon Steward</w:t>
            </w:r>
          </w:p>
        </w:tc>
        <w:tc>
          <w:tcPr/>
          <w:p>
            <w:pPr>
              <w:pStyle w:val="Compact"/>
            </w:pPr>
            <w:r>
              <w:t xml:space="preserve">Executive Sponsor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G1 — Foundation Complete</w:t>
            </w:r>
          </w:p>
        </w:tc>
        <w:tc>
          <w:tcPr/>
          <w:p>
            <w:pPr>
              <w:pStyle w:val="Compact"/>
            </w:pPr>
            <w:r>
              <w:t xml:space="preserve">Canon Steward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G2 — Pilot Clean</w:t>
            </w:r>
          </w:p>
        </w:tc>
        <w:tc>
          <w:tcPr/>
          <w:p>
            <w:pPr>
              <w:pStyle w:val="Compact"/>
            </w:pPr>
            <w:r>
              <w:t xml:space="preserve">Canon Steward + Executive Sponsor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G3 — Rollout Complete</w:t>
            </w:r>
          </w:p>
        </w:tc>
        <w:tc>
          <w:tcPr/>
          <w:p>
            <w:pPr>
              <w:pStyle w:val="Compact"/>
            </w:pPr>
            <w:r>
              <w:t xml:space="preserve">Executive Sponsor + Steering Committee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G4 — Legacy Quiet</w:t>
            </w:r>
          </w:p>
        </w:tc>
        <w:tc>
          <w:tcPr/>
          <w:p>
            <w:pPr>
              <w:pStyle w:val="Compact"/>
            </w:pPr>
            <w:r>
              <w:t xml:space="preserve">Canon Steward</w:t>
            </w:r>
          </w:p>
        </w:tc>
        <w:tc>
          <w:tcPr/>
          <w:p>
            <w:pPr>
              <w:pStyle w:val="Compact"/>
            </w:pPr>
            <w:r>
              <w:t xml:space="preserve">Executive Sponsor</w:t>
            </w:r>
          </w:p>
        </w:tc>
      </w:tr>
      <w:tr>
        <w:tc>
          <w:tcPr/>
          <w:p>
            <w:pPr>
              <w:pStyle w:val="Compact"/>
            </w:pPr>
            <w:r>
              <w:t xml:space="preserve">G5 — AD Retired</w:t>
            </w:r>
          </w:p>
        </w:tc>
        <w:tc>
          <w:tcPr/>
          <w:p>
            <w:pPr>
              <w:pStyle w:val="Compact"/>
            </w:pPr>
            <w:r>
              <w:t xml:space="preserve">Executive Sponsor + CIO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Division-level exit (G3 sub-gate)</w:t>
            </w:r>
          </w:p>
        </w:tc>
        <w:tc>
          <w:tcPr/>
          <w:p>
            <w:pPr>
              <w:pStyle w:val="Compact"/>
            </w:pPr>
            <w:r>
              <w:t xml:space="preserve">Division Lead + Canon Steward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p>
      <w:pPr>
        <w:pStyle w:val="BodyText"/>
      </w:pPr>
      <w:r>
        <w:t xml:space="preserve">Gate authority is recorded in the Gitea PR that merges the gate</w:t>
      </w:r>
      <w:r>
        <w:t xml:space="preserve"> </w:t>
      </w:r>
      <w:r>
        <w:t xml:space="preserve">decision. Disputed gates escalate per MOD_Q.</w:t>
      </w:r>
    </w:p>
    <w:bookmarkEnd w:id="27"/>
    <w:bookmarkStart w:id="28" w:name="common-failure-modes"/>
    <w:p>
      <w:pPr>
        <w:pStyle w:val="Heading2"/>
      </w:pPr>
      <w:r>
        <w:t xml:space="preserve">Common failure modes</w:t>
      </w:r>
    </w:p>
    <w:p>
      <w:pPr>
        <w:pStyle w:val="FirstParagraph"/>
      </w:pPr>
      <w:r>
        <w:t xml:space="preserve">Across federal agencies that have run variants of this program, five</w:t>
      </w:r>
      <w:r>
        <w:t xml:space="preserve"> </w:t>
      </w:r>
      <w:r>
        <w:t xml:space="preserve">failure modes recur. UIAO’s structure is designed to pre-empt each: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Half-finished identity.</w:t>
      </w:r>
      <w:r>
        <w:t xml:space="preserve"> </w:t>
      </w:r>
      <w:r>
        <w:t xml:space="preserve">Pattern: rollout begins, 30% of users</w:t>
      </w:r>
      <w:r>
        <w:t xml:space="preserve"> </w:t>
      </w:r>
      <w:r>
        <w:t xml:space="preserve">have OrgPath, HR connector breaks, project stalls. Mitigation:</w:t>
      </w:r>
      <w:r>
        <w:t xml:space="preserve"> </w:t>
      </w:r>
      <w:r>
        <w:t xml:space="preserve">Gate G1 requires HR connector operational before rollout.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Unscoped CA policy.</w:t>
      </w:r>
      <w:r>
        <w:t xml:space="preserve"> </w:t>
      </w:r>
      <w:r>
        <w:t xml:space="preserve">Pattern: broad</w:t>
      </w:r>
      <w:r>
        <w:t xml:space="preserve"> </w:t>
      </w:r>
      <w:r>
        <w:t xml:space="preserve">“require MFA”</w:t>
      </w:r>
      <w:r>
        <w:t xml:space="preserve"> </w:t>
      </w:r>
      <w:r>
        <w:t xml:space="preserve">policy</w:t>
      </w:r>
      <w:r>
        <w:t xml:space="preserve"> </w:t>
      </w:r>
      <w:r>
        <w:t xml:space="preserve">deployed; edge cases block operationally critical sign-ins.</w:t>
      </w:r>
      <w:r>
        <w:t xml:space="preserve"> </w:t>
      </w:r>
      <w:r>
        <w:t xml:space="preserve">Mitigation: Chapter 05’s OrgPath-scoped + pilot-group-first</w:t>
      </w:r>
      <w:r>
        <w:t xml:space="preserve"> </w:t>
      </w:r>
      <w:r>
        <w:t xml:space="preserve">pattern.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DNS left for</w:t>
      </w:r>
      <w:r>
        <w:rPr>
          <w:b/>
          <w:bCs/>
        </w:rPr>
        <w:t xml:space="preserve"> </w:t>
      </w:r>
      <w:r>
        <w:rPr>
          <w:b/>
          <w:bCs/>
        </w:rPr>
        <w:t xml:space="preserve">“phase 2.”</w:t>
      </w:r>
      <w:r>
        <w:t xml:space="preserve"> </w:t>
      </w:r>
      <w:r>
        <w:t xml:space="preserve">Pattern: identity moves, DNS stays</w:t>
      </w:r>
      <w:r>
        <w:t xml:space="preserve"> </w:t>
      </w:r>
      <w:r>
        <w:t xml:space="preserve">AD-integrated, AD can’t actually retire. Mitigation: Chapter 06’s</w:t>
      </w:r>
      <w:r>
        <w:t xml:space="preserve"> </w:t>
      </w:r>
      <w:r>
        <w:t xml:space="preserve">insistence that DNS+DHCP+IPAM migrate together.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Hybrid Joined permanence.</w:t>
      </w:r>
      <w:r>
        <w:t xml:space="preserve"> </w:t>
      </w:r>
      <w:r>
        <w:t xml:space="preserve">Pattern: devices become Hybrid</w:t>
      </w:r>
      <w:r>
        <w:t xml:space="preserve"> </w:t>
      </w:r>
      <w:r>
        <w:t xml:space="preserve">Joined and stay that way indefinitely. Mitigation: Chapter 07’s</w:t>
      </w:r>
      <w:r>
        <w:t xml:space="preserve"> </w:t>
      </w:r>
      <w:r>
        <w:t xml:space="preserve">rule that Hybrid Join is a transition state, with drift-engine</w:t>
      </w:r>
      <w:r>
        <w:t xml:space="preserve"> </w:t>
      </w:r>
      <w:r>
        <w:t xml:space="preserve">monitoring of time-in-state.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Evidence-less migration.</w:t>
      </w:r>
      <w:r>
        <w:t xml:space="preserve"> </w:t>
      </w:r>
      <w:r>
        <w:t xml:space="preserve">Pattern: changes happen via ad-hoc</w:t>
      </w:r>
      <w:r>
        <w:t xml:space="preserve"> </w:t>
      </w:r>
      <w:r>
        <w:t xml:space="preserve">admin actions; FedRAMP audit can’t produce provenance. Mitigation:</w:t>
      </w:r>
      <w:r>
        <w:t xml:space="preserve"> </w:t>
      </w:r>
      <w:r>
        <w:t xml:space="preserve">Chapter 03’s plan-based delivery — every change has provenance by</w:t>
      </w:r>
      <w:r>
        <w:t xml:space="preserve"> </w:t>
      </w:r>
      <w:r>
        <w:t xml:space="preserve">construction.</w:t>
      </w:r>
    </w:p>
    <w:bookmarkEnd w:id="28"/>
    <w:bookmarkStart w:id="29" w:name="the-week-by-week-cadence"/>
    <w:p>
      <w:pPr>
        <w:pStyle w:val="Heading2"/>
      </w:pPr>
      <w:r>
        <w:t xml:space="preserve">The week-by-week cadence</w:t>
      </w:r>
    </w:p>
    <w:p>
      <w:pPr>
        <w:pStyle w:val="FirstParagraph"/>
      </w:pPr>
      <w:r>
        <w:t xml:space="preserve">For the steering committee, the cadence is: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Monday</w:t>
      </w:r>
      <w:r>
        <w:t xml:space="preserve"> </w:t>
      </w:r>
      <w:r>
        <w:t xml:space="preserve">— workstream leads update status (green/yellow/red).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Tuesday</w:t>
      </w:r>
      <w:r>
        <w:t xml:space="preserve"> </w:t>
      </w:r>
      <w:r>
        <w:t xml:space="preserve">— cross-workstream dependency sync.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Wednesday</w:t>
      </w:r>
      <w:r>
        <w:t xml:space="preserve"> </w:t>
      </w:r>
      <w:r>
        <w:t xml:space="preserve">— canon changes + plan reviews merge to Gitea.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Thursday</w:t>
      </w:r>
      <w:r>
        <w:t xml:space="preserve"> </w:t>
      </w:r>
      <w:r>
        <w:t xml:space="preserve">— plan deliveries scheduled (typically off-peak).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Friday</w:t>
      </w:r>
      <w:r>
        <w:t xml:space="preserve"> </w:t>
      </w:r>
      <w:r>
        <w:t xml:space="preserve">— evidence packet + drift-engine review; retrospective</w:t>
      </w:r>
      <w:r>
        <w:t xml:space="preserve"> </w:t>
      </w:r>
      <w:r>
        <w:t xml:space="preserve">on the week.</w:t>
      </w:r>
    </w:p>
    <w:p>
      <w:pPr>
        <w:pStyle w:val="FirstParagraph"/>
      </w:pPr>
      <w:r>
        <w:t xml:space="preserve">Monthly: gate-criterion reviews against the phase schedule. Red</w:t>
      </w:r>
      <w:r>
        <w:t xml:space="preserve"> </w:t>
      </w:r>
      <w:r>
        <w:t xml:space="preserve">status across two consecutive weeks escalates to the executive</w:t>
      </w:r>
      <w:r>
        <w:t xml:space="preserve"> </w:t>
      </w:r>
      <w:r>
        <w:t xml:space="preserve">sponsor.</w:t>
      </w:r>
    </w:p>
    <w:bookmarkEnd w:id="29"/>
    <w:bookmarkStart w:id="30" w:name="what-finishing-looks-like"/>
    <w:p>
      <w:pPr>
        <w:pStyle w:val="Heading2"/>
      </w:pPr>
      <w:r>
        <w:t xml:space="preserve">What finishing looks like</w:t>
      </w:r>
    </w:p>
    <w:p>
      <w:pPr>
        <w:pStyle w:val="FirstParagraph"/>
      </w:pPr>
      <w:r>
        <w:t xml:space="preserve">In week 49 (Phase 6 steady state), the program meeting looks like</w:t>
      </w:r>
      <w:r>
        <w:t xml:space="preserve"> </w:t>
      </w:r>
      <w:r>
        <w:t xml:space="preserve">this:</w:t>
      </w:r>
    </w:p>
    <w:p>
      <w:pPr>
        <w:pStyle w:val="Compact"/>
        <w:numPr>
          <w:ilvl w:val="0"/>
          <w:numId w:val="1006"/>
        </w:numPr>
      </w:pPr>
      <w:r>
        <w:t xml:space="preserve">Drift-engine report: zero findings.</w:t>
      </w:r>
    </w:p>
    <w:p>
      <w:pPr>
        <w:pStyle w:val="Compact"/>
        <w:numPr>
          <w:ilvl w:val="0"/>
          <w:numId w:val="1006"/>
        </w:numPr>
      </w:pPr>
      <w:r>
        <w:t xml:space="preserve">Nightly plan run: zero actions.</w:t>
      </w:r>
    </w:p>
    <w:p>
      <w:pPr>
        <w:pStyle w:val="Compact"/>
        <w:numPr>
          <w:ilvl w:val="0"/>
          <w:numId w:val="1006"/>
        </w:numPr>
      </w:pPr>
      <w:r>
        <w:t xml:space="preserve">Evidence packets: fully signed, shipped to SIEM + ConMon.</w:t>
      </w:r>
    </w:p>
    <w:p>
      <w:pPr>
        <w:pStyle w:val="Compact"/>
        <w:numPr>
          <w:ilvl w:val="0"/>
          <w:numId w:val="1006"/>
        </w:numPr>
      </w:pPr>
      <w:r>
        <w:t xml:space="preserve">ServiceNow tickets: routine operational only; no P1 findings.</w:t>
      </w:r>
    </w:p>
    <w:p>
      <w:pPr>
        <w:pStyle w:val="Compact"/>
        <w:numPr>
          <w:ilvl w:val="0"/>
          <w:numId w:val="1006"/>
        </w:numPr>
      </w:pPr>
      <w:r>
        <w:t xml:space="preserve">Audit posture: ATO package refreshed; continuous-monitoring feed</w:t>
      </w:r>
      <w:r>
        <w:t xml:space="preserve"> </w:t>
      </w:r>
      <w:r>
        <w:t xml:space="preserve">live; 3PAO relationship quarterly.</w:t>
      </w:r>
    </w:p>
    <w:p>
      <w:pPr>
        <w:pStyle w:val="Compact"/>
        <w:numPr>
          <w:ilvl w:val="0"/>
          <w:numId w:val="1006"/>
        </w:numPr>
      </w:pPr>
      <w:r>
        <w:t xml:space="preserve">Canon: one PR merged this week for a Policy library refinement;</w:t>
      </w:r>
      <w:r>
        <w:t xml:space="preserve"> </w:t>
      </w:r>
      <w:r>
        <w:t xml:space="preserve">otherwise stable.</w:t>
      </w:r>
    </w:p>
    <w:p>
      <w:pPr>
        <w:pStyle w:val="FirstParagraph"/>
      </w:pPr>
      <w:r>
        <w:t xml:space="preserve">The program is not</w:t>
      </w:r>
      <w:r>
        <w:t xml:space="preserve"> </w:t>
      </w:r>
      <w:r>
        <w:t xml:space="preserve">“done”</w:t>
      </w:r>
      <w:r>
        <w:t xml:space="preserve"> </w:t>
      </w:r>
      <w:r>
        <w:t xml:space="preserve">— steady state is the operational mode —</w:t>
      </w:r>
      <w:r>
        <w:t xml:space="preserve"> </w:t>
      </w:r>
      <w:r>
        <w:t xml:space="preserve">but the modernization is complete. The agency runs governed; AD is</w:t>
      </w:r>
      <w:r>
        <w:t xml:space="preserve"> </w:t>
      </w:r>
      <w:r>
        <w:t xml:space="preserve">gone; the canon is the operational truth.</w:t>
      </w:r>
    </w:p>
    <w:bookmarkEnd w:id="30"/>
    <w:bookmarkStart w:id="33" w:name="cross-references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Posted:</w:t>
      </w:r>
      <w:r>
        <w:t xml:space="preserve"> </w:t>
      </w:r>
      <w:r>
        <w:t xml:space="preserve">UIAO Master Project Plan — Assessment Phase Through</w:t>
      </w:r>
      <w:r>
        <w:t xml:space="preserve"> </w:t>
      </w:r>
      <w:r>
        <w:t xml:space="preserve">Full Modernization (14,051 words) — 7-phase, 48-milestone,</w:t>
      </w:r>
      <w:r>
        <w:t xml:space="preserve"> </w:t>
      </w:r>
      <w:r>
        <w:t xml:space="preserve">52-week capstone plan.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Canon:</w:t>
      </w:r>
      <w:r>
        <w:t xml:space="preserve"> </w:t>
      </w:r>
      <w:r>
        <w:t xml:space="preserve">MOD_F Migration Runbook · MOD_Q SLA Escalation</w:t>
      </w:r>
      <w:r>
        <w:t xml:space="preserve"> </w:t>
      </w:r>
      <w:r>
        <w:t xml:space="preserve">Playbooks · MOD_V Canonical Contributor Workflow.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Customer Documents:</w:t>
      </w:r>
      <w:r>
        <w:t xml:space="preserve"> </w:t>
      </w:r>
      <w:hyperlink r:id="rId31">
        <w:r>
          <w:rPr>
            <w:rStyle w:val="Hyperlink"/>
          </w:rPr>
          <w:t xml:space="preserve">program management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Next:</w:t>
      </w:r>
      <w:r>
        <w:t xml:space="preserve"> </w:t>
      </w:r>
      <w:hyperlink r:id="rId32">
        <w:r>
          <w:rPr>
            <w:rStyle w:val="Hyperlink"/>
          </w:rPr>
          <w:t xml:space="preserve">Chapter 10 — Leadership Takeaway: Instruments vs. Orchestra</w:t>
        </w:r>
      </w:hyperlink>
    </w:p>
    <w:bookmarkEnd w:id="33"/>
    <w:bookmarkEnd w:id="3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31" Target="../program-management/index.html" TargetMode="External" /><Relationship Type="http://schemas.openxmlformats.org/officeDocument/2006/relationships/hyperlink" Id="rId32" Target="10-executive-summary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1" Target="../program-management/index.html" TargetMode="External" /><Relationship Type="http://schemas.openxmlformats.org/officeDocument/2006/relationships/hyperlink" Id="rId32" Target="10-executive-summar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09 — Migration Roadmap: Phased Plan, Gates, Rollback</dc:title>
  <dc:creator/>
  <cp:keywords/>
  <dcterms:created xsi:type="dcterms:W3CDTF">2026-05-06T19:44:55Z</dcterms:created>
  <dcterms:modified xsi:type="dcterms:W3CDTF">2026-05-06T19:44:55Z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audience">
    <vt:lpwstr>Program managers · executive sponsors · modernization steering committees</vt:lpwstr>
  </property>
  <property fmtid="{D5CDD505-2E9C-101B-9397-08002B2CF9AE}" pid="4" name="biblio-config">
    <vt:lpwstr>True</vt:lpwstr>
  </property>
  <property fmtid="{D5CDD505-2E9C-101B-9397-08002B2CF9AE}" pid="5" name="canon-source">
    <vt:lpwstr>Posted Master Project Plan + MOD_F Migration Runbook + MOD_Q SLA Escalation</vt:lpwstr>
  </property>
  <property fmtid="{D5CDD505-2E9C-101B-9397-08002B2CF9AE}" pid="6" name="chapter">
    <vt:lpwstr>9</vt:lpwstr>
  </property>
  <property fmtid="{D5CDD505-2E9C-101B-9397-08002B2CF9AE}" pid="7" name="date">
    <vt:lpwstr>2026-04-24</vt:lpwstr>
  </property>
  <property fmtid="{D5CDD505-2E9C-101B-9397-08002B2CF9AE}" pid="8" name="doc-type">
    <vt:lpwstr>series-chapter</vt:lpwstr>
  </property>
  <property fmtid="{D5CDD505-2E9C-101B-9397-08002B2CF9AE}" pid="9" name="engines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series-id">
    <vt:lpwstr>client-server-to-hybrid-cloud</vt:lpwstr>
  </property>
  <property fmtid="{D5CDD505-2E9C-101B-9397-08002B2CF9AE}" pid="15" name="subtitle">
    <vt:lpwstr>Seven phases, five parallel workstreams, named gates, deterministic rollback</vt:lpwstr>
  </property>
  <property fmtid="{D5CDD505-2E9C-101B-9397-08002B2CF9AE}" pid="16" name="toc-title">
    <vt:lpwstr>Table of contents</vt:lpwstr>
  </property>
</Properties>
</file>