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10 — Leadership Takeaway: Instruments vs. Orchestra</w:t>
      </w:r>
    </w:p>
    <w:p>
      <w:pPr>
        <w:pStyle w:val="Subtitle"/>
      </w:pPr>
      <w:r>
        <w:t xml:space="preserve">What this series means for an executive sponsor deciding whether to run it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8" w:name="Xae5053a06bd4a3e6efc3b9a47812ca54c74dc75"/>
    <w:p>
      <w:pPr>
        <w:pStyle w:val="Heading1"/>
      </w:pPr>
      <w:r>
        <w:t xml:space="preserve">Chapter 10 — Leadership Takeaway: Instruments vs. Orchestra</w:t>
      </w:r>
    </w:p>
    <w:p>
      <w:pPr>
        <w:pStyle w:val="FirstParagraph"/>
      </w:pPr>
      <w:r>
        <w:rPr>
          <w:i/>
          <w:iCs/>
        </w:rPr>
        <w:t xml:space="preserve">What this series means for an executive sponsor deciding whether to run it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Figure 10.1 — Microsoft provides the instruments. UIAO provides the orchestra.</w:t>
            </w:r>
          </w:p>
        </w:tc>
      </w:tr>
    </w:tbl>
    <w:p>
      <w:pPr>
        <w:pStyle w:val="ImageCaption"/>
      </w:pPr>
      <w:r>
        <w:t xml:space="preserve">Figure 10.1 — Microsoft provides the instruments. UIAO provides the orchestra.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framing that matters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Microsoft provides the instruments. UIAO provides the orchestra.</w:t>
            </w:r>
          </w:p>
          <w:p>
            <w:pPr>
              <w:pStyle w:val="BodyText"/>
            </w:pPr>
            <w:r>
              <w:t xml:space="preserve">Entra ID, Intune, Azure Arc, Conditional Access, Azure Private DNS,</w:t>
            </w:r>
            <w:r>
              <w:t xml:space="preserve"> </w:t>
            </w:r>
            <w:r>
              <w:t xml:space="preserve">Azure PIM, ScubaGear — each is an outstanding piece of federally-</w:t>
            </w:r>
            <w:r>
              <w:t xml:space="preserve"> </w:t>
            </w:r>
            <w:r>
              <w:t xml:space="preserve">authorized technology. None of them, individually or collectively,</w:t>
            </w:r>
            <w:r>
              <w:t xml:space="preserve"> </w:t>
            </w:r>
            <w:r>
              <w:t xml:space="preserve">tells an agency how to govern the transformation from the AD-centric</w:t>
            </w:r>
            <w:r>
              <w:t xml:space="preserve"> </w:t>
            </w:r>
            <w:r>
              <w:t xml:space="preserve">Client/Server era into the Hybrid-Cloud Zero-Trust era.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That is the gap UIAO fills.</w:t>
            </w:r>
          </w:p>
          <w:p/>
        </w:tc>
      </w:tr>
    </w:tbl>
    <w:bookmarkStart w:id="12" w:name="the-thesis-one-more-time"/>
    <w:p>
      <w:pPr>
        <w:pStyle w:val="Heading2"/>
      </w:pPr>
      <w:r>
        <w:t xml:space="preserve">The thesis, one more time</w:t>
      </w:r>
    </w:p>
    <w:p>
      <w:pPr>
        <w:pStyle w:val="FirstParagraph"/>
      </w:pPr>
      <w:r>
        <w:t xml:space="preserve">Chapter 00 opened with a claim: Active Directory was never just an</w:t>
      </w:r>
      <w:r>
        <w:t xml:space="preserve"> </w:t>
      </w:r>
      <w:r>
        <w:t xml:space="preserve">identity store; it was the implicit governance model for every</w:t>
      </w:r>
      <w:r>
        <w:t xml:space="preserve"> </w:t>
      </w:r>
      <w:r>
        <w:t xml:space="preserve">network service a federal agency ran. Twenty-five years of accretion</w:t>
      </w:r>
      <w:r>
        <w:t xml:space="preserve"> </w:t>
      </w:r>
      <w:r>
        <w:t xml:space="preserve">made it so. Microsoft is now deprecating the entire stack that</w:t>
      </w:r>
      <w:r>
        <w:t xml:space="preserve"> </w:t>
      </w:r>
      <w:r>
        <w:t xml:space="preserve">built up around AD — and is supplying replacements that are</w:t>
      </w:r>
      <w:r>
        <w:t xml:space="preserve"> </w:t>
      </w:r>
      <w:r>
        <w:t xml:space="preserve">individually excellent.</w:t>
      </w:r>
    </w:p>
    <w:p>
      <w:pPr>
        <w:pStyle w:val="BodyText"/>
      </w:pPr>
      <w:r>
        <w:t xml:space="preserve">The problem is that</w:t>
      </w:r>
      <w:r>
        <w:t xml:space="preserve"> </w:t>
      </w:r>
      <w:r>
        <w:rPr>
          <w:i/>
          <w:iCs/>
        </w:rPr>
        <w:t xml:space="preserve">collective replacement</w:t>
      </w:r>
      <w:r>
        <w:t xml:space="preserve"> </w:t>
      </w:r>
      <w:r>
        <w:t xml:space="preserve">requires something</w:t>
      </w:r>
      <w:r>
        <w:t xml:space="preserve"> </w:t>
      </w:r>
      <w:r>
        <w:t xml:space="preserve">Microsoft doesn’t provide: a framework that decides what the target</w:t>
      </w:r>
      <w:r>
        <w:t xml:space="preserve"> </w:t>
      </w:r>
      <w:r>
        <w:t xml:space="preserve">looks like, how to get there, how to prove it was done right, and</w:t>
      </w:r>
      <w:r>
        <w:t xml:space="preserve"> </w:t>
      </w:r>
      <w:r>
        <w:t xml:space="preserve">how to keep it right afterward. Without that framework, agencies</w:t>
      </w:r>
      <w:r>
        <w:t xml:space="preserve"> </w:t>
      </w:r>
      <w:r>
        <w:t xml:space="preserve">migrate in pieces, lose governance continuity, and finish with a</w:t>
      </w:r>
      <w:r>
        <w:t xml:space="preserve"> </w:t>
      </w:r>
      <w:r>
        <w:t xml:space="preserve">modernized surface that can’t answer the questions their auditors</w:t>
      </w:r>
      <w:r>
        <w:t xml:space="preserve"> </w:t>
      </w:r>
      <w:r>
        <w:t xml:space="preserve">were asking six months earlier.</w:t>
      </w:r>
    </w:p>
    <w:p>
      <w:pPr>
        <w:pStyle w:val="BodyText"/>
      </w:pPr>
      <w:r>
        <w:t xml:space="preserve">UIAO is that framework. This series has described how.</w:t>
      </w:r>
    </w:p>
    <w:bookmarkEnd w:id="12"/>
    <w:bookmarkStart w:id="15" w:name="what-uiao-is-and-isnt"/>
    <w:p>
      <w:pPr>
        <w:pStyle w:val="Heading2"/>
      </w:pPr>
      <w:r>
        <w:t xml:space="preserve">What UIAO is — and isn’t</w:t>
      </w:r>
    </w:p>
    <w:bookmarkStart w:id="13" w:name="what-it-is"/>
    <w:p>
      <w:pPr>
        <w:pStyle w:val="Heading3"/>
      </w:pPr>
      <w:r>
        <w:t xml:space="preserve">What it is</w:t>
      </w:r>
    </w:p>
    <w:p>
      <w:pPr>
        <w:pStyle w:val="FirstParagraph"/>
      </w:pPr>
      <w:r>
        <w:t xml:space="preserve">UIAO is an</w:t>
      </w:r>
      <w:r>
        <w:t xml:space="preserve"> </w:t>
      </w:r>
      <w:r>
        <w:rPr>
          <w:b/>
          <w:bCs/>
        </w:rPr>
        <w:t xml:space="preserve">orchestration + governance + evidence layer</w:t>
      </w:r>
      <w:r>
        <w:t xml:space="preserve"> </w:t>
      </w:r>
      <w:r>
        <w:t xml:space="preserve">that runs</w:t>
      </w:r>
      <w:r>
        <w:t xml:space="preserve"> </w:t>
      </w:r>
      <w:r>
        <w:rPr>
          <w:i/>
          <w:iCs/>
        </w:rPr>
        <w:t xml:space="preserve">above</w:t>
      </w:r>
      <w:r>
        <w:t xml:space="preserve"> </w:t>
      </w:r>
      <w:r>
        <w:t xml:space="preserve">Microsoft’s (and third-party) modernization tools. It is</w:t>
      </w:r>
      <w:r>
        <w:t xml:space="preserve"> </w:t>
      </w:r>
      <w:r>
        <w:t xml:space="preserve">embodied in:</w:t>
      </w:r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single Windows Server 2025 host</w:t>
      </w:r>
      <w:r>
        <w:t xml:space="preserve"> </w:t>
      </w:r>
      <w:r>
        <w:t xml:space="preserve">running Gitea + IIS +</w:t>
      </w:r>
      <w:r>
        <w:t xml:space="preserve"> </w:t>
      </w:r>
      <w:r>
        <w:t xml:space="preserve">Kerberos bridge + enterprise PKI (Chapter 01).</w:t>
      </w:r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canonical monorepo</w:t>
      </w:r>
      <w:r>
        <w:t xml:space="preserve"> </w:t>
      </w:r>
      <w:r>
        <w:t xml:space="preserve">of governance artifacts — codebooks,</w:t>
      </w:r>
      <w:r>
        <w:t xml:space="preserve"> </w:t>
      </w:r>
      <w:r>
        <w:t xml:space="preserve">policies, plans, evidence — stored as versioned, signed files</w:t>
      </w:r>
      <w:r>
        <w:t xml:space="preserve"> </w:t>
      </w:r>
      <w:r>
        <w:t xml:space="preserve">in Git.</w:t>
      </w:r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transformation engine</w:t>
      </w:r>
      <w:r>
        <w:t xml:space="preserve"> </w:t>
      </w:r>
      <w:r>
        <w:t xml:space="preserve">— PowerShell + Python + API</w:t>
      </w:r>
      <w:r>
        <w:t xml:space="preserve"> </w:t>
      </w:r>
      <w:r>
        <w:t xml:space="preserve">integrators — that reads the Client/Server estate, produces</w:t>
      </w:r>
      <w:r>
        <w:t xml:space="preserve"> </w:t>
      </w:r>
      <w:r>
        <w:t xml:space="preserve">deterministic plans, and delivers them into the Hybrid-Cloud</w:t>
      </w:r>
      <w:r>
        <w:t xml:space="preserve"> </w:t>
      </w:r>
      <w:r>
        <w:t xml:space="preserve">target surface (Chapters 02-03).</w:t>
      </w:r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four-pillar target surface</w:t>
      </w:r>
      <w:r>
        <w:t xml:space="preserve"> </w:t>
      </w:r>
      <w:r>
        <w:t xml:space="preserve">— identity, policy, services,</w:t>
      </w:r>
      <w:r>
        <w:t xml:space="preserve"> </w:t>
      </w:r>
      <w:r>
        <w:t xml:space="preserve">compute, access — each governed through a matching chapter of</w:t>
      </w:r>
      <w:r>
        <w:t xml:space="preserve"> </w:t>
      </w:r>
      <w:r>
        <w:t xml:space="preserve">this series (Chapters 04-08).</w:t>
      </w:r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52-week program roadmap</w:t>
      </w:r>
      <w:r>
        <w:t xml:space="preserve"> </w:t>
      </w:r>
      <w:r>
        <w:t xml:space="preserve">with seven gates, five parallel</w:t>
      </w:r>
      <w:r>
        <w:t xml:space="preserve"> </w:t>
      </w:r>
      <w:r>
        <w:t xml:space="preserve">workstreams, and mechanically evaluable exit criteria</w:t>
      </w:r>
      <w:r>
        <w:t xml:space="preserve"> </w:t>
      </w:r>
      <w:r>
        <w:t xml:space="preserve">(Chapter 09).</w:t>
      </w:r>
    </w:p>
    <w:bookmarkEnd w:id="13"/>
    <w:bookmarkStart w:id="14" w:name="what-it-isnt"/>
    <w:p>
      <w:pPr>
        <w:pStyle w:val="Heading3"/>
      </w:pPr>
      <w:r>
        <w:t xml:space="preserve">What it isn’t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Not a Microsoft-tool replacement.</w:t>
      </w:r>
      <w:r>
        <w:t xml:space="preserve"> </w:t>
      </w:r>
      <w:r>
        <w:t xml:space="preserve">UIAO does not replace Entra,</w:t>
      </w:r>
      <w:r>
        <w:t xml:space="preserve"> </w:t>
      </w:r>
      <w:r>
        <w:t xml:space="preserve">Intune, Arc, or any other native tool. It orchestrates them.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Not a proprietary product.</w:t>
      </w:r>
      <w:r>
        <w:t xml:space="preserve"> </w:t>
      </w:r>
      <w:r>
        <w:t xml:space="preserve">UIAO is a governed deployment of</w:t>
      </w:r>
      <w:r>
        <w:t xml:space="preserve"> </w:t>
      </w:r>
      <w:r>
        <w:t xml:space="preserve">well-known components configured in a canonical way. Nothing to</w:t>
      </w:r>
      <w:r>
        <w:t xml:space="preserve"> </w:t>
      </w:r>
      <w:r>
        <w:t xml:space="preserve">buy a license for.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Not a consultant’s methodology.</w:t>
      </w:r>
      <w:r>
        <w:t xml:space="preserve"> </w:t>
      </w:r>
      <w:r>
        <w:t xml:space="preserve">UIAO is a documented canon,</w:t>
      </w:r>
      <w:r>
        <w:t xml:space="preserve"> </w:t>
      </w:r>
      <w:r>
        <w:t xml:space="preserve">versioned in Git, auditable line-by-line. No slideware-based</w:t>
      </w:r>
      <w:r>
        <w:t xml:space="preserve"> </w:t>
      </w:r>
      <w:r>
        <w:t xml:space="preserve">engagement can ship this.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Not optional for federal modernization.</w:t>
      </w:r>
      <w:r>
        <w:t xml:space="preserve"> </w:t>
      </w:r>
      <w:r>
        <w:t xml:space="preserve">The</w:t>
      </w:r>
      <w:r>
        <w:t xml:space="preserve"> </w:t>
      </w:r>
      <w:r>
        <w:t xml:space="preserve">“do this without a</w:t>
      </w:r>
      <w:r>
        <w:t xml:space="preserve"> </w:t>
      </w:r>
      <w:r>
        <w:t xml:space="preserve">framework”</w:t>
      </w:r>
      <w:r>
        <w:t xml:space="preserve"> </w:t>
      </w:r>
      <w:r>
        <w:t xml:space="preserve">alternative produces the failure modes enumerated in</w:t>
      </w:r>
      <w:r>
        <w:t xml:space="preserve"> </w:t>
      </w:r>
      <w:r>
        <w:t xml:space="preserve">Chapter 09. Agencies that skip the orchestration step finish</w:t>
      </w:r>
      <w:r>
        <w:t xml:space="preserve"> </w:t>
      </w:r>
      <w:r>
        <w:t xml:space="preserve">with half-migrations, drift, and audit failures.</w:t>
      </w:r>
    </w:p>
    <w:bookmarkEnd w:id="14"/>
    <w:bookmarkEnd w:id="15"/>
    <w:bookmarkStart w:id="16" w:name="the-instruments-revisited"/>
    <w:p>
      <w:pPr>
        <w:pStyle w:val="Heading2"/>
      </w:pPr>
      <w:r>
        <w:t xml:space="preserve">The instruments, revisited</w:t>
      </w:r>
    </w:p>
    <w:p>
      <w:pPr>
        <w:pStyle w:val="FirstParagraph"/>
      </w:pPr>
      <w:r>
        <w:t xml:space="preserve">Federal agencies have the full set of Microsoft-native modernization</w:t>
      </w:r>
      <w:r>
        <w:t xml:space="preserve"> </w:t>
      </w:r>
      <w:r>
        <w:t xml:space="preserve">instruments today: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Instrument</w:t>
            </w:r>
          </w:p>
        </w:tc>
        <w:tc>
          <w:tcPr/>
          <w:p>
            <w:pPr>
              <w:pStyle w:val="Compact"/>
            </w:pPr>
            <w:r>
              <w:t xml:space="preserve">What it does</w:t>
            </w:r>
          </w:p>
        </w:tc>
        <w:tc>
          <w:tcPr/>
          <w:p>
            <w:pPr>
              <w:pStyle w:val="Compact"/>
            </w:pPr>
            <w:r>
              <w:t xml:space="preserve">What it doesn’t do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Entra ID</w:t>
            </w:r>
          </w:p>
        </w:tc>
        <w:tc>
          <w:tcPr/>
          <w:p>
            <w:pPr>
              <w:pStyle w:val="Compact"/>
            </w:pPr>
            <w:r>
              <w:t xml:space="preserve">Cloud identity directory</w:t>
            </w:r>
          </w:p>
        </w:tc>
        <w:tc>
          <w:tcPr/>
          <w:p>
            <w:pPr>
              <w:pStyle w:val="Compact"/>
            </w:pPr>
            <w:r>
              <w:t xml:space="preserve">Decide what your OU structure should become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Intune</w:t>
            </w:r>
          </w:p>
        </w:tc>
        <w:tc>
          <w:tcPr/>
          <w:p>
            <w:pPr>
              <w:pStyle w:val="Compact"/>
            </w:pPr>
            <w:r>
              <w:t xml:space="preserve">MDM + device policy</w:t>
            </w:r>
          </w:p>
        </w:tc>
        <w:tc>
          <w:tcPr/>
          <w:p>
            <w:pPr>
              <w:pStyle w:val="Compact"/>
            </w:pPr>
            <w:r>
              <w:t xml:space="preserve">Decide which GPOs map to which Intune profiles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Azure Arc</w:t>
            </w:r>
          </w:p>
        </w:tc>
        <w:tc>
          <w:tcPr/>
          <w:p>
            <w:pPr>
              <w:pStyle w:val="Compact"/>
            </w:pPr>
            <w:r>
              <w:t xml:space="preserve">Hybrid server management</w:t>
            </w:r>
          </w:p>
        </w:tc>
        <w:tc>
          <w:tcPr/>
          <w:p>
            <w:pPr>
              <w:pStyle w:val="Compact"/>
            </w:pPr>
            <w:r>
              <w:t xml:space="preserve">Decide which servers retire vs. Arc-project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Conditional Access</w:t>
            </w:r>
          </w:p>
        </w:tc>
        <w:tc>
          <w:tcPr/>
          <w:p>
            <w:pPr>
              <w:pStyle w:val="Compact"/>
            </w:pPr>
            <w:r>
              <w:t xml:space="preserve">Access-policy enforcement</w:t>
            </w:r>
          </w:p>
        </w:tc>
        <w:tc>
          <w:tcPr/>
          <w:p>
            <w:pPr>
              <w:pStyle w:val="Compact"/>
            </w:pPr>
            <w:r>
              <w:t xml:space="preserve">Decide which users need which policies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Azure PIM</w:t>
            </w:r>
          </w:p>
        </w:tc>
        <w:tc>
          <w:tcPr/>
          <w:p>
            <w:pPr>
              <w:pStyle w:val="Compact"/>
            </w:pPr>
            <w:r>
              <w:t xml:space="preserve">Just-in-time privilege</w:t>
            </w:r>
          </w:p>
        </w:tc>
        <w:tc>
          <w:tcPr/>
          <w:p>
            <w:pPr>
              <w:pStyle w:val="Compact"/>
            </w:pPr>
            <w:r>
              <w:t xml:space="preserve">Decide which roles are standing-privileged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ScubaGear</w:t>
            </w:r>
          </w:p>
        </w:tc>
        <w:tc>
          <w:tcPr/>
          <w:p>
            <w:pPr>
              <w:pStyle w:val="Compact"/>
            </w:pPr>
            <w:r>
              <w:t xml:space="preserve">SCuBA baseline assessment</w:t>
            </w:r>
          </w:p>
        </w:tc>
        <w:tc>
          <w:tcPr/>
          <w:p>
            <w:pPr>
              <w:pStyle w:val="Compact"/>
            </w:pPr>
            <w:r>
              <w:t xml:space="preserve">Decide what to do with the findings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Azure Private Resolver</w:t>
            </w:r>
          </w:p>
        </w:tc>
        <w:tc>
          <w:tcPr/>
          <w:p>
            <w:pPr>
              <w:pStyle w:val="Compact"/>
            </w:pPr>
            <w:r>
              <w:t xml:space="preserve">Hybrid DNS resolution</w:t>
            </w:r>
          </w:p>
        </w:tc>
        <w:tc>
          <w:tcPr/>
          <w:p>
            <w:pPr>
              <w:pStyle w:val="Compact"/>
            </w:pPr>
            <w:r>
              <w:t xml:space="preserve">Decide which zones are authoritative where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Entra CBA</w:t>
            </w:r>
          </w:p>
        </w:tc>
        <w:tc>
          <w:tcPr/>
          <w:p>
            <w:pPr>
              <w:pStyle w:val="Compact"/>
            </w:pPr>
            <w:r>
              <w:t xml:space="preserve">Certificate-based auth</w:t>
            </w:r>
          </w:p>
        </w:tc>
        <w:tc>
          <w:tcPr/>
          <w:p>
            <w:pPr>
              <w:pStyle w:val="Compact"/>
            </w:pPr>
            <w:r>
              <w:t xml:space="preserve">Decide which users get CBA vs. FIDO2</w:t>
            </w:r>
          </w:p>
        </w:tc>
      </w:tr>
    </w:tbl>
    <w:p>
      <w:pPr>
        <w:pStyle w:val="BodyText"/>
      </w:pPr>
      <w:r>
        <w:t xml:space="preserve">Every row’s</w:t>
      </w:r>
      <w:r>
        <w:t xml:space="preserve"> </w:t>
      </w:r>
      <w:r>
        <w:t xml:space="preserve">“what it does”</w:t>
      </w:r>
      <w:r>
        <w:t xml:space="preserve"> </w:t>
      </w:r>
      <w:r>
        <w:t xml:space="preserve">column is operationally mature. Every</w:t>
      </w:r>
      <w:r>
        <w:t xml:space="preserve"> </w:t>
      </w:r>
      <w:r>
        <w:t xml:space="preserve">row’s</w:t>
      </w:r>
      <w:r>
        <w:t xml:space="preserve"> </w:t>
      </w:r>
      <w:r>
        <w:t xml:space="preserve">“what it doesn’t do”</w:t>
      </w:r>
      <w:r>
        <w:t xml:space="preserve"> </w:t>
      </w:r>
      <w:r>
        <w:t xml:space="preserve">column is what UIAO governs.</w:t>
      </w:r>
    </w:p>
    <w:bookmarkEnd w:id="16"/>
    <w:bookmarkStart w:id="17" w:name="the-governance-properties-that-matter"/>
    <w:p>
      <w:pPr>
        <w:pStyle w:val="Heading2"/>
      </w:pPr>
      <w:r>
        <w:t xml:space="preserve">The governance properties that matter</w:t>
      </w:r>
    </w:p>
    <w:p>
      <w:pPr>
        <w:pStyle w:val="FirstParagraph"/>
      </w:pPr>
      <w:r>
        <w:t xml:space="preserve">Reading this series, a CISO or CIO should retain five properties that</w:t>
      </w:r>
      <w:r>
        <w:t xml:space="preserve"> </w:t>
      </w:r>
      <w:r>
        <w:t xml:space="preserve">distinguish governed modernization from the alternative: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The canon is the operational truth.</w:t>
      </w:r>
      <w:r>
        <w:t xml:space="preserve"> </w:t>
      </w:r>
      <w:r>
        <w:t xml:space="preserve">Every OrgPath, every</w:t>
      </w:r>
      <w:r>
        <w:t xml:space="preserve"> </w:t>
      </w:r>
      <w:r>
        <w:t xml:space="preserve">dynamic group, every CA policy, every Intune profile, every</w:t>
      </w:r>
      <w:r>
        <w:t xml:space="preserve"> </w:t>
      </w:r>
      <w:r>
        <w:t xml:space="preserve">Arc-projected server’s tags — all of these are defined in Gitea</w:t>
      </w:r>
      <w:r>
        <w:t xml:space="preserve"> </w:t>
      </w:r>
      <w:r>
        <w:t xml:space="preserve">before they exist in the target surface. The target surface is a</w:t>
      </w:r>
      <w:r>
        <w:t xml:space="preserve"> </w:t>
      </w:r>
      <w:r>
        <w:rPr>
          <w:i/>
          <w:iCs/>
        </w:rPr>
        <w:t xml:space="preserve">materialization of the canon</w:t>
      </w:r>
      <w:r>
        <w:t xml:space="preserve">, not the source of truth.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Every change is a plan.</w:t>
      </w:r>
      <w:r>
        <w:t xml:space="preserve"> </w:t>
      </w:r>
      <w:r>
        <w:t xml:space="preserve">Nothing reaches the target surface</w:t>
      </w:r>
      <w:r>
        <w:t xml:space="preserve"> </w:t>
      </w:r>
      <w:r>
        <w:t xml:space="preserve">except through an authorized plan. No admin-portal clicks. No</w:t>
      </w:r>
      <w:r>
        <w:t xml:space="preserve"> </w:t>
      </w:r>
      <w:r>
        <w:t xml:space="preserve">“I’ll fix it in prod.”</w:t>
      </w:r>
      <w:r>
        <w:t xml:space="preserve"> </w:t>
      </w:r>
      <w:r>
        <w:t xml:space="preserve">Every change has provenance by</w:t>
      </w:r>
      <w:r>
        <w:t xml:space="preserve"> </w:t>
      </w:r>
      <w:r>
        <w:t xml:space="preserve">construction.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Drift is detected, not reported.</w:t>
      </w:r>
      <w:r>
        <w:t xml:space="preserve"> </w:t>
      </w:r>
      <w:r>
        <w:t xml:space="preserve">The drift engine runs</w:t>
      </w:r>
      <w:r>
        <w:t xml:space="preserve"> </w:t>
      </w:r>
      <w:r>
        <w:t xml:space="preserve">continuously. Divergence between canon and reality triggers an</w:t>
      </w:r>
      <w:r>
        <w:t xml:space="preserve"> </w:t>
      </w:r>
      <w:r>
        <w:t xml:space="preserve">SLA ticket within hours. Compliance teams find out about drift</w:t>
      </w:r>
      <w:r>
        <w:t xml:space="preserve"> </w:t>
      </w:r>
      <w:r>
        <w:t xml:space="preserve">before auditors do.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Evidence is built-in, not extracted.</w:t>
      </w:r>
      <w:r>
        <w:t xml:space="preserve"> </w:t>
      </w:r>
      <w:r>
        <w:t xml:space="preserve">Every plan produces an</w:t>
      </w:r>
      <w:r>
        <w:t xml:space="preserve"> </w:t>
      </w:r>
      <w:r>
        <w:t xml:space="preserve">evidence packet. FedRAMP ConMon + CISA SCuBA feeds subscribe to</w:t>
      </w:r>
      <w:r>
        <w:t xml:space="preserve"> </w:t>
      </w:r>
      <w:r>
        <w:t xml:space="preserve">the same data stream. ATO packages regenerate from canon rather</w:t>
      </w:r>
      <w:r>
        <w:t xml:space="preserve"> </w:t>
      </w:r>
      <w:r>
        <w:t xml:space="preserve">than being hand-compiled from spreadsheets.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Two-Brain Execution prevents covered-track changes.</w:t>
      </w:r>
      <w:r>
        <w:t xml:space="preserve"> </w:t>
      </w:r>
      <w:r>
        <w:t xml:space="preserve">Governance</w:t>
      </w:r>
      <w:r>
        <w:t xml:space="preserve"> </w:t>
      </w:r>
      <w:r>
        <w:t xml:space="preserve">(Copilot) and Execution (the Substrate) are architecturally</w:t>
      </w:r>
      <w:r>
        <w:t xml:space="preserve"> </w:t>
      </w:r>
      <w:r>
        <w:t xml:space="preserve">separate. A brain that could both decide and act could cover its</w:t>
      </w:r>
      <w:r>
        <w:t xml:space="preserve"> </w:t>
      </w:r>
      <w:r>
        <w:t xml:space="preserve">tracks. These can’t.</w:t>
      </w:r>
    </w:p>
    <w:bookmarkEnd w:id="17"/>
    <w:bookmarkStart w:id="18" w:name="how-to-evaluate-a-uiao-engagement"/>
    <w:p>
      <w:pPr>
        <w:pStyle w:val="Heading2"/>
      </w:pPr>
      <w:r>
        <w:t xml:space="preserve">How to evaluate a UIAO engagement</w:t>
      </w:r>
    </w:p>
    <w:p>
      <w:pPr>
        <w:pStyle w:val="FirstParagraph"/>
      </w:pPr>
      <w:r>
        <w:t xml:space="preserve">An executive sponsor asking</w:t>
      </w:r>
      <w:r>
        <w:t xml:space="preserve"> </w:t>
      </w:r>
      <w:r>
        <w:t xml:space="preserve">“should we do this?”</w:t>
      </w:r>
      <w:r>
        <w:t xml:space="preserve"> </w:t>
      </w:r>
      <w:r>
        <w:t xml:space="preserve">should require</w:t>
      </w:r>
      <w:r>
        <w:t xml:space="preserve"> </w:t>
      </w:r>
      <w:r>
        <w:t xml:space="preserve">answers to a short list: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Is the canon in Git?</w:t>
      </w:r>
      <w:r>
        <w:t xml:space="preserve"> </w:t>
      </w:r>
      <w:r>
        <w:t xml:space="preserve">If the answer is</w:t>
      </w:r>
      <w:r>
        <w:t xml:space="preserve"> </w:t>
      </w:r>
      <w:r>
        <w:t xml:space="preserve">“in the vendor’s portal”</w:t>
      </w:r>
      <w:r>
        <w:t xml:space="preserve"> </w:t>
      </w:r>
      <w:r>
        <w:t xml:space="preserve">or</w:t>
      </w:r>
      <w:r>
        <w:t xml:space="preserve"> </w:t>
      </w:r>
      <w:r>
        <w:t xml:space="preserve">“in a SharePoint,”</w:t>
      </w:r>
      <w:r>
        <w:t xml:space="preserve"> </w:t>
      </w:r>
      <w:r>
        <w:t xml:space="preserve">it is not a UIAO engagement.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Can every production change be traced to a signed commit?</w:t>
      </w:r>
      <w:r>
        <w:t xml:space="preserve"> </w:t>
      </w:r>
      <w:r>
        <w:t xml:space="preserve">If</w:t>
      </w:r>
      <w:r>
        <w:t xml:space="preserve"> </w:t>
      </w:r>
      <w:r>
        <w:t xml:space="preserve">not, the provenance property is missing.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Is drift detection continuous?</w:t>
      </w:r>
      <w:r>
        <w:t xml:space="preserve"> </w:t>
      </w:r>
      <w:r>
        <w:t xml:space="preserve">Once-a-quarter scans don’t</w:t>
      </w:r>
      <w:r>
        <w:t xml:space="preserve"> </w:t>
      </w:r>
      <w:r>
        <w:t xml:space="preserve">count.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Does the target surface come from plans, not ad-hoc actions?</w:t>
      </w:r>
      <w:r>
        <w:t xml:space="preserve"> </w:t>
      </w:r>
      <w:r>
        <w:t xml:space="preserve">If there’s no plan artifact, there’s no rollback.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Is the platform server one box, hardened, Tier-0?</w:t>
      </w:r>
      <w:r>
        <w:t xml:space="preserve"> </w:t>
      </w:r>
      <w:r>
        <w:t xml:space="preserve">Distributed</w:t>
      </w:r>
      <w:r>
        <w:t xml:space="preserve"> </w:t>
      </w:r>
      <w:r>
        <w:t xml:space="preserve">governance substrates dilute the properties above.</w:t>
      </w:r>
    </w:p>
    <w:p>
      <w:pPr>
        <w:pStyle w:val="FirstParagraph"/>
      </w:pPr>
      <w:r>
        <w:t xml:space="preserve">These five questions are a pass/fail test. Every answer should be</w:t>
      </w:r>
      <w:r>
        <w:t xml:space="preserve"> </w:t>
      </w:r>
      <w:r>
        <w:t xml:space="preserve">“yes.”</w:t>
      </w:r>
    </w:p>
    <w:bookmarkEnd w:id="18"/>
    <w:bookmarkStart w:id="19" w:name="X06c1a675f58057b73db7cced2f32118e7ac16ec"/>
    <w:p>
      <w:pPr>
        <w:pStyle w:val="Heading2"/>
      </w:pPr>
      <w:r>
        <w:t xml:space="preserve">Questions the steering committee should ask monthly</w:t>
      </w:r>
    </w:p>
    <w:p>
      <w:pPr>
        <w:pStyle w:val="FirstParagraph"/>
      </w:pPr>
      <w:r>
        <w:t xml:space="preserve">Once the program is underway, five standing questions reveal whether</w:t>
      </w:r>
      <w:r>
        <w:t xml:space="preserve"> </w:t>
      </w:r>
      <w:r>
        <w:t xml:space="preserve">it is actually governed: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What is the drift count?</w:t>
      </w:r>
      <w:r>
        <w:t xml:space="preserve"> </w:t>
      </w:r>
      <w:r>
        <w:t xml:space="preserve">Trend, not point-in-time. Rising</w:t>
      </w:r>
      <w:r>
        <w:t xml:space="preserve"> </w:t>
      </w:r>
      <w:r>
        <w:t xml:space="preserve">drift is the single strongest leading indicator of a failing</w:t>
      </w:r>
      <w:r>
        <w:t xml:space="preserve"> </w:t>
      </w:r>
      <w:r>
        <w:t xml:space="preserve">modernization.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What percentage of production changes had a signed plan?</w:t>
      </w:r>
      <w:r>
        <w:t xml:space="preserve"> </w:t>
      </w:r>
      <w:r>
        <w:t xml:space="preserve">100% is the only acceptable answer in steady state. Anything</w:t>
      </w:r>
      <w:r>
        <w:t xml:space="preserve"> </w:t>
      </w:r>
      <w:r>
        <w:t xml:space="preserve">less means ad-hoc changes have re-entered the flow.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What percentage of employees have a valid OrgPath?</w:t>
      </w:r>
      <w:r>
        <w:t xml:space="preserve"> </w:t>
      </w:r>
      <w:r>
        <w:t xml:space="preserve">Below 95%</w:t>
      </w:r>
      <w:r>
        <w:t xml:space="preserve"> </w:t>
      </w:r>
      <w:r>
        <w:t xml:space="preserve">is a Gate G1 regression.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How many GPOs are active?</w:t>
      </w:r>
      <w:r>
        <w:t xml:space="preserve"> </w:t>
      </w:r>
      <w:r>
        <w:t xml:space="preserve">Should be declining every month of</w:t>
      </w:r>
      <w:r>
        <w:t xml:space="preserve"> </w:t>
      </w:r>
      <w:r>
        <w:t xml:space="preserve">Phase 4. Plateauing before zero is a blocker.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How many Hybrid-Joined devices have been in that state &gt;180</w:t>
      </w:r>
      <w:r>
        <w:rPr>
          <w:b/>
          <w:bCs/>
        </w:rPr>
        <w:t xml:space="preserve"> </w:t>
      </w:r>
      <w:r>
        <w:rPr>
          <w:b/>
          <w:bCs/>
        </w:rPr>
        <w:t xml:space="preserve">days?</w:t>
      </w:r>
      <w:r>
        <w:t xml:space="preserve"> </w:t>
      </w:r>
      <w:r>
        <w:t xml:space="preserve">Zero. Any other answer is a modernization stuck at</w:t>
      </w:r>
      <w:r>
        <w:t xml:space="preserve"> </w:t>
      </w:r>
      <w:r>
        <w:t xml:space="preserve">Chapter 07.</w:t>
      </w:r>
    </w:p>
    <w:p>
      <w:pPr>
        <w:pStyle w:val="FirstParagraph"/>
      </w:pPr>
      <w:r>
        <w:t xml:space="preserve">A steering committee that asks these five questions monthly will</w:t>
      </w:r>
      <w:r>
        <w:t xml:space="preserve"> </w:t>
      </w:r>
      <w:r>
        <w:t xml:space="preserve">know whether the program is governed or theatre.</w:t>
      </w:r>
    </w:p>
    <w:bookmarkEnd w:id="19"/>
    <w:bookmarkStart w:id="20" w:name="what-happens-after-this-series"/>
    <w:p>
      <w:pPr>
        <w:pStyle w:val="Heading2"/>
      </w:pPr>
      <w:r>
        <w:t xml:space="preserve">What happens after this series</w:t>
      </w:r>
    </w:p>
    <w:p>
      <w:pPr>
        <w:pStyle w:val="FirstParagraph"/>
      </w:pPr>
      <w:r>
        <w:t xml:space="preserve">Three concrete next steps: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Read the full canon.</w:t>
      </w:r>
      <w:r>
        <w:t xml:space="preserve"> </w:t>
      </w:r>
      <w:r>
        <w:t xml:space="preserve">Everything this series describes exists</w:t>
      </w:r>
      <w:r>
        <w:t xml:space="preserve"> </w:t>
      </w:r>
      <w:r>
        <w:t xml:space="preserve">(or will) as canonical artifacts in the UIAO monorepo — MOD_A..Z,</w:t>
      </w:r>
      <w:r>
        <w:t xml:space="preserve"> </w:t>
      </w:r>
      <w:r>
        <w:t xml:space="preserve">DM_010..090, the adapter specs, the policy libraries, the</w:t>
      </w:r>
      <w:r>
        <w:t xml:space="preserve"> </w:t>
      </w:r>
      <w:r>
        <w:t xml:space="preserve">validation suites. The series is the narrative; the canon is the</w:t>
      </w:r>
      <w:r>
        <w:t xml:space="preserve"> </w:t>
      </w:r>
      <w:r>
        <w:t xml:space="preserve">authority.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Run a Tier-B assessment</w:t>
      </w:r>
      <w:r>
        <w:t xml:space="preserve"> </w:t>
      </w:r>
      <w:r>
        <w:t xml:space="preserve">(Chapter 02). Not a theoretical</w:t>
      </w:r>
      <w:r>
        <w:t xml:space="preserve"> </w:t>
      </w:r>
      <w:r>
        <w:t xml:space="preserve">exercise — a real, read-only, least-privilege enumeration of</w:t>
      </w:r>
      <w:r>
        <w:t xml:space="preserve"> </w:t>
      </w:r>
      <w:r>
        <w:t xml:space="preserve">your forest. The output is the input to every downstream decision.</w:t>
      </w:r>
      <w:r>
        <w:t xml:space="preserve"> </w:t>
      </w:r>
      <w:r>
        <w:t xml:space="preserve">An assessment takes about a week and produces a complete picture</w:t>
      </w:r>
      <w:r>
        <w:t xml:space="preserve"> </w:t>
      </w:r>
      <w:r>
        <w:t xml:space="preserve">you probably don’t have today.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Stand up the platform server</w:t>
      </w:r>
      <w:r>
        <w:t xml:space="preserve"> </w:t>
      </w:r>
      <w:r>
        <w:t xml:space="preserve">(Chapter 01). A governed</w:t>
      </w:r>
      <w:r>
        <w:t xml:space="preserve"> </w:t>
      </w:r>
      <w:r>
        <w:t xml:space="preserve">modernization begins with one Windows Server 2025 host running</w:t>
      </w:r>
      <w:r>
        <w:t xml:space="preserve"> </w:t>
      </w:r>
      <w:r>
        <w:t xml:space="preserve">Gitea + IIS + the canonical monorepo. From that host, everything</w:t>
      </w:r>
      <w:r>
        <w:t xml:space="preserve"> </w:t>
      </w:r>
      <w:r>
        <w:t xml:space="preserve">else follows.</w:t>
      </w:r>
    </w:p>
    <w:bookmarkEnd w:id="20"/>
    <w:bookmarkStart w:id="21" w:name="the-bottom-line"/>
    <w:p>
      <w:pPr>
        <w:pStyle w:val="Heading2"/>
      </w:pPr>
      <w:r>
        <w:t xml:space="preserve">The bottom line</w:t>
      </w:r>
    </w:p>
    <w:p>
      <w:pPr>
        <w:pStyle w:val="FirstParagraph"/>
      </w:pPr>
      <w:r>
        <w:t xml:space="preserve">Microsoft retired Active Directory because the Client/Server era</w:t>
      </w:r>
      <w:r>
        <w:t xml:space="preserve"> </w:t>
      </w:r>
      <w:r>
        <w:t xml:space="preserve">ended. They gave you the instruments to play in the new era. They did</w:t>
      </w:r>
      <w:r>
        <w:t xml:space="preserve"> </w:t>
      </w:r>
      <w:r>
        <w:t xml:space="preserve">not give you the orchestra.</w:t>
      </w:r>
    </w:p>
    <w:p>
      <w:pPr>
        <w:pStyle w:val="BodyText"/>
      </w:pPr>
      <w:r>
        <w:t xml:space="preserve">UIAO is the orchestra. This series is the score.</w:t>
      </w:r>
    </w:p>
    <w:p>
      <w:pPr>
        <w:pStyle w:val="BodyText"/>
      </w:pPr>
      <w:r>
        <w:t xml:space="preserve">AD retirement is not a migration project. It is a governance</w:t>
      </w:r>
      <w:r>
        <w:t xml:space="preserve"> </w:t>
      </w:r>
      <w:r>
        <w:t xml:space="preserve">transformation. Run it governed, or don’t run it.</w:t>
      </w:r>
    </w:p>
    <w:p>
      <w:r>
        <w:pict>
          <v:rect style="width:0;height:1.5pt" o:hralign="center" o:hrstd="t" o:hr="t"/>
        </w:pict>
      </w:r>
    </w:p>
    <w:bookmarkEnd w:id="21"/>
    <w:bookmarkStart w:id="25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vs. Microsoft Native Tools — AD Assessment and</w:t>
      </w:r>
      <w:r>
        <w:t xml:space="preserve"> </w:t>
      </w:r>
      <w:r>
        <w:t xml:space="preserve">Modernization Gap Analysis (5,392 words) — the original</w:t>
      </w:r>
      <w:r>
        <w:t xml:space="preserve"> </w:t>
      </w:r>
      <w:r>
        <w:t xml:space="preserve">“instruments vs. orchestra”</w:t>
      </w:r>
      <w:r>
        <w:t xml:space="preserve"> </w:t>
      </w:r>
      <w:r>
        <w:t xml:space="preserve">document.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Executive Brief — the leadership-facing one-pager.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MOD_001 Executive Summary (for technical depth behind</w:t>
      </w:r>
      <w:r>
        <w:t xml:space="preserve"> </w:t>
      </w:r>
      <w:r>
        <w:t xml:space="preserve">this chapter).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Customer Documents:</w:t>
      </w:r>
      <w:r>
        <w:t xml:space="preserve"> </w:t>
      </w:r>
      <w:hyperlink r:id="rId22">
        <w:r>
          <w:rPr>
            <w:rStyle w:val="Hyperlink"/>
          </w:rPr>
          <w:t xml:space="preserve">modernization pillar</w:t>
        </w:r>
      </w:hyperlink>
      <w:r>
        <w:t xml:space="preserve"> </w:t>
      </w:r>
      <w:r>
        <w:t xml:space="preserve">·</w:t>
      </w:r>
      <w:r>
        <w:t xml:space="preserve"> </w:t>
      </w:r>
      <w:hyperlink r:id="rId23">
        <w:r>
          <w:rPr>
            <w:rStyle w:val="Hyperlink"/>
          </w:rPr>
          <w:t xml:space="preserve">compliance pillar</w:t>
        </w:r>
      </w:hyperlink>
      <w:r>
        <w:t xml:space="preserve"> </w:t>
      </w:r>
      <w:r>
        <w:t xml:space="preserve">·</w:t>
      </w:r>
      <w:r>
        <w:t xml:space="preserve"> </w:t>
      </w:r>
      <w:hyperlink r:id="rId24">
        <w:r>
          <w:rPr>
            <w:rStyle w:val="Hyperlink"/>
          </w:rPr>
          <w:t xml:space="preserve">substrate pillar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End w:id="25"/>
    <w:bookmarkStart w:id="27" w:name="end-of-series"/>
    <w:p>
      <w:pPr>
        <w:pStyle w:val="Heading2"/>
      </w:pPr>
      <w:r>
        <w:t xml:space="preserve">End of series</w:t>
      </w:r>
    </w:p>
    <w:p>
      <w:pPr>
        <w:pStyle w:val="FirstParagraph"/>
      </w:pPr>
      <w:r>
        <w:t xml:space="preserve">This concludes the Client-Server to Hybrid-Cloud Transformation</w:t>
      </w:r>
      <w:r>
        <w:t xml:space="preserve"> </w:t>
      </w:r>
      <w:r>
        <w:t xml:space="preserve">series. For the full modernization arc, read Chapters 00 → 10 in</w:t>
      </w:r>
      <w:r>
        <w:t xml:space="preserve"> </w:t>
      </w:r>
      <w:r>
        <w:t xml:space="preserve">order. For a specific topic, use the chapter list on the</w:t>
      </w:r>
      <w:r>
        <w:t xml:space="preserve"> </w:t>
      </w:r>
      <w:hyperlink r:id="rId26">
        <w:r>
          <w:rPr>
            <w:rStyle w:val="Hyperlink"/>
          </w:rPr>
          <w:t xml:space="preserve">series landing page</w:t>
        </w:r>
      </w:hyperlink>
      <w:r>
        <w:t xml:space="preserve">.</w:t>
      </w:r>
    </w:p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23" Target="../../compliance/index.html" TargetMode="External" /><Relationship Type="http://schemas.openxmlformats.org/officeDocument/2006/relationships/hyperlink" Id="rId24" Target="../../substrate/index.html" TargetMode="External" /><Relationship Type="http://schemas.openxmlformats.org/officeDocument/2006/relationships/hyperlink" Id="rId22" Target="../index.html" TargetMode="External" /><Relationship Type="http://schemas.openxmlformats.org/officeDocument/2006/relationships/hyperlink" Id="rId26" Target="index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compliance/index.html" TargetMode="External" /><Relationship Type="http://schemas.openxmlformats.org/officeDocument/2006/relationships/hyperlink" Id="rId24" Target="../../substrate/index.html" TargetMode="External" /><Relationship Type="http://schemas.openxmlformats.org/officeDocument/2006/relationships/hyperlink" Id="rId22" Target="../index.html" TargetMode="External" /><Relationship Type="http://schemas.openxmlformats.org/officeDocument/2006/relationships/hyperlink" Id="rId26" Target="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— Leadership Takeaway: Instruments vs. Orchestra</dc:title>
  <dc:creator/>
  <cp:keywords/>
  <dcterms:created xsi:type="dcterms:W3CDTF">2026-05-06T19:44:56Z</dcterms:created>
  <dcterms:modified xsi:type="dcterms:W3CDTF">2026-05-06T19:44:56Z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CIOs · CISOs · executive sponsors · boards · authorizing officials</vt:lpwstr>
  </property>
  <property fmtid="{D5CDD505-2E9C-101B-9397-08002B2CF9AE}" pid="4" name="biblio-config">
    <vt:lpwstr>True</vt:lpwstr>
  </property>
  <property fmtid="{D5CDD505-2E9C-101B-9397-08002B2CF9AE}" pid="5" name="canon-source">
    <vt:lpwstr>Posted UIAO vs. Microsoft Native Tools Gap Analysis + Executive Brief</vt:lpwstr>
  </property>
  <property fmtid="{D5CDD505-2E9C-101B-9397-08002B2CF9AE}" pid="6" name="chapter">
    <vt:lpwstr>10</vt:lpwstr>
  </property>
  <property fmtid="{D5CDD505-2E9C-101B-9397-08002B2CF9AE}" pid="7" name="date">
    <vt:lpwstr>2026-04-24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client-server-to-hybrid-cloud</vt:lpwstr>
  </property>
  <property fmtid="{D5CDD505-2E9C-101B-9397-08002B2CF9AE}" pid="15" name="subtitle">
    <vt:lpwstr>What this series means for an executive sponsor deciding whether to run it</vt:lpwstr>
  </property>
  <property fmtid="{D5CDD505-2E9C-101B-9397-08002B2CF9AE}" pid="16" name="toc-title">
    <vt:lpwstr>Table of contents</vt:lpwstr>
  </property>
</Properties>
</file>