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Microsoft Client-Server to Hybrid-Cloud Transformation</w:t>
      </w:r>
    </w:p>
    <w:p>
      <w:pPr>
        <w:pStyle w:val="Subtitle"/>
      </w:pPr>
      <w:r>
        <w:t xml:space="preserve">AD, GPO, DNS, DHCP, Kerberos, and PKI → Entra ID, Intune, Azure Arc, IPAM, SASE, and Zero Trust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6" w:name="Xc9e5fe804d75ab397ae4fbfd9f32e665324849e"/>
    <w:p>
      <w:pPr>
        <w:pStyle w:val="Heading1"/>
      </w:pPr>
      <w:r>
        <w:t xml:space="preserve">Microsoft Client-Server to Hybrid-Cloud Transformation</w:t>
      </w:r>
    </w:p>
    <w:p>
      <w:pPr>
        <w:pStyle w:val="FirstParagraph"/>
      </w:pPr>
      <w:r>
        <w:t xml:space="preserve">An eleven-chapter narrative covering the</w:t>
      </w:r>
      <w:r>
        <w:t xml:space="preserve"> </w:t>
      </w:r>
      <w:r>
        <w:rPr>
          <w:b/>
          <w:bCs/>
        </w:rPr>
        <w:t xml:space="preserve">entire</w:t>
      </w:r>
      <w:r>
        <w:t xml:space="preserve"> </w:t>
      </w:r>
      <w:r>
        <w:t xml:space="preserve">UIAO transformation</w:t>
      </w:r>
      <w:r>
        <w:t xml:space="preserve"> </w:t>
      </w:r>
      <w:r>
        <w:t xml:space="preserve">arc — from the Client/Server-era AD forest that federal agencies inherited,</w:t>
      </w:r>
      <w:r>
        <w:t xml:space="preserve"> </w:t>
      </w:r>
      <w:r>
        <w:t xml:space="preserve">through the analysis + planning + delivery pipeline that runs on a single</w:t>
      </w:r>
      <w:r>
        <w:t xml:space="preserve"> </w:t>
      </w:r>
      <w:r>
        <w:t xml:space="preserve">Windows Server 2025 platform host, to the governed Hybrid-Cloud estate of</w:t>
      </w:r>
      <w:r>
        <w:t xml:space="preserve"> </w:t>
      </w:r>
      <w:r>
        <w:t xml:space="preserve">Entra ID, Intune, Azure Arc, IPAM, SASE, Zero Trust, and MFA.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Why this series exists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Every guide and every runbook in UIAO answers a narrow question. This</w:t>
            </w:r>
            <w:r>
              <w:t xml:space="preserve"> </w:t>
            </w:r>
            <w:r>
              <w:t xml:space="preserve">series is the only document that answers the big one:</w:t>
            </w:r>
            <w:r>
              <w:t xml:space="preserve"> </w:t>
            </w:r>
            <w:r>
              <w:rPr>
                <w:i/>
                <w:iCs/>
              </w:rPr>
              <w:t xml:space="preserve">“We have an AD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forest. Where are we going, how do we get there, and what does the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finished state look like?”</w:t>
            </w:r>
          </w:p>
          <w:p/>
        </w:tc>
      </w:tr>
    </w:tbl>
    <w:bookmarkStart w:id="12" w:name="the-arc"/>
    <w:p>
      <w:pPr>
        <w:pStyle w:val="Heading2"/>
      </w:pPr>
      <w:r>
        <w:t xml:space="preserve">The arc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┌─────────────────────┐       ┌──────────────────────────┐       ┌───────────────────────────┐</w:t>
      </w:r>
      <w:r>
        <w:br/>
      </w:r>
      <w:r>
        <w:rPr>
          <w:rStyle w:val="VerbatimChar"/>
        </w:rPr>
        <w:t xml:space="preserve">│ CLIENT-SERVER       │       │ UIAO PLATFORM SERVER     │       │ HYBRID-CLOUD              │</w:t>
      </w:r>
      <w:r>
        <w:br/>
      </w:r>
      <w:r>
        <w:rPr>
          <w:rStyle w:val="VerbatimChar"/>
        </w:rPr>
        <w:t xml:space="preserve">│ (the source)        │       │ (the transformer)        │       │ (the target)              │</w:t>
      </w:r>
      <w:r>
        <w:br/>
      </w:r>
      <w:r>
        <w:rPr>
          <w:rStyle w:val="VerbatimChar"/>
        </w:rPr>
        <w:t xml:space="preserve">├─────────────────────┤       ├──────────────────────────┤       ├───────────────────────────┤</w:t>
      </w:r>
      <w:r>
        <w:br/>
      </w:r>
      <w:r>
        <w:rPr>
          <w:rStyle w:val="VerbatimChar"/>
        </w:rPr>
        <w:t xml:space="preserve">│ AD Forest           │──────▶│ WS2025 + IIS + Gitea     │──────▶│ Entra ID + Intune + Arc   │</w:t>
      </w:r>
      <w:r>
        <w:br/>
      </w:r>
      <w:r>
        <w:rPr>
          <w:rStyle w:val="VerbatimChar"/>
        </w:rPr>
        <w:t xml:space="preserve">│ GPO                 │  read │ Kerberos + Enterprise PKI│ write │ IPAM + DNS + DHCP         │</w:t>
      </w:r>
      <w:r>
        <w:br/>
      </w:r>
      <w:r>
        <w:rPr>
          <w:rStyle w:val="VerbatimChar"/>
        </w:rPr>
        <w:t xml:space="preserve">│ AD-Integrated DNS   │  only │ PowerShell + Python +API │       │ SASE + Zero Trust + MFA   │</w:t>
      </w:r>
      <w:r>
        <w:br/>
      </w:r>
      <w:r>
        <w:rPr>
          <w:rStyle w:val="VerbatimChar"/>
        </w:rPr>
        <w:t xml:space="preserve">│ AD DHCP             │       │ Analysis → Plan → Deliver│       │ Conditional Access        │</w:t>
      </w:r>
      <w:r>
        <w:br/>
      </w:r>
      <w:r>
        <w:rPr>
          <w:rStyle w:val="VerbatimChar"/>
        </w:rPr>
        <w:t xml:space="preserve">│ Kerberos SPNs       │       │                          │       │ Certificate-Based Auth    │</w:t>
      </w:r>
      <w:r>
        <w:br/>
      </w:r>
      <w:r>
        <w:rPr>
          <w:rStyle w:val="VerbatimChar"/>
        </w:rPr>
        <w:t xml:space="preserve">│ ADCS                │       │                          │       │                           │</w:t>
      </w:r>
      <w:r>
        <w:br/>
      </w:r>
      <w:r>
        <w:rPr>
          <w:rStyle w:val="VerbatimChar"/>
        </w:rPr>
        <w:t xml:space="preserve">│ Domain-joined PCs   │       │                          │       │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└─────────────────────┘       └──────────────────────────┘       └───────────────────────────┘</w:t>
      </w:r>
    </w:p>
    <w:bookmarkEnd w:id="12"/>
    <w:bookmarkStart w:id="19" w:name="chapter-list"/>
    <w:p>
      <w:pPr>
        <w:pStyle w:val="Heading2"/>
      </w:pPr>
      <w:r>
        <w:t xml:space="preserve">Chapter list</w:t>
      </w:r>
    </w:p>
    <w:p>
      <w:pPr>
        <w:pStyle w:val="FirstParagraph"/>
      </w:pPr>
      <w:r>
        <w:t xml:space="preserve">The series is a five-part, eleven-chapter arc. Each chapter is a</w:t>
      </w:r>
      <w:r>
        <w:t xml:space="preserve"> </w:t>
      </w:r>
      <w:r>
        <w:t xml:space="preserve">standalone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that renders to HTML and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. Readers can enter at</w:t>
      </w:r>
      <w:r>
        <w:t xml:space="preserve"> </w:t>
      </w:r>
      <w:r>
        <w:t xml:space="preserve">any chapter, but reading in order is the intended path.</w:t>
      </w:r>
    </w:p>
    <w:bookmarkStart w:id="14" w:name="part-i-platform"/>
    <w:p>
      <w:pPr>
        <w:pStyle w:val="Heading3"/>
      </w:pPr>
      <w:r>
        <w:t xml:space="preserve">Part I · Platform</w:t>
      </w:r>
    </w:p>
    <w:p>
      <w:pPr>
        <w:pStyle w:val="Compact"/>
        <w:numPr>
          <w:ilvl w:val="0"/>
          <w:numId w:val="1001"/>
        </w:numPr>
      </w:pPr>
      <w:hyperlink r:id="rId13">
        <w:r>
          <w:rPr>
            <w:rStyle w:val="Hyperlink"/>
            <w:b/>
            <w:bCs/>
          </w:rPr>
          <w:t xml:space="preserve">00 — The Problem: AD’s Hidden Governance Surface</w:t>
        </w:r>
      </w:hyperlink>
      <w:r>
        <w:t xml:space="preserve"> </w:t>
      </w:r>
      <w:r>
        <w:t xml:space="preserve">—</w:t>
      </w:r>
      <w:r>
        <w:t xml:space="preserve"> </w:t>
      </w:r>
      <w:r>
        <w:t xml:space="preserve">Why AD modernization fails when you only think</w:t>
      </w:r>
      <w:r>
        <w:t xml:space="preserve"> </w:t>
      </w:r>
      <w:r>
        <w:t xml:space="preserve">“users and groups.”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01 — The UIAO Platform Server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Windows Server 2025 with IIS, Gitea, Kerberos, and enterprise PKI as</w:t>
      </w:r>
      <w:r>
        <w:t xml:space="preserve"> </w:t>
      </w:r>
      <w:r>
        <w:t xml:space="preserve">the host that runs everything.</w:t>
      </w:r>
    </w:p>
    <w:bookmarkEnd w:id="14"/>
    <w:bookmarkStart w:id="15" w:name="part-ii-transformation-engine"/>
    <w:p>
      <w:pPr>
        <w:pStyle w:val="Heading3"/>
      </w:pPr>
      <w:r>
        <w:t xml:space="preserve">Part II · Transformation Engine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02 — Analyzing the Client/Server Estate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Forest discovery, GPO inventory, DNS/DHCP scraping, Kerberos SPN</w:t>
      </w:r>
      <w:r>
        <w:t xml:space="preserve"> </w:t>
      </w:r>
      <w:r>
        <w:t xml:space="preserve">audit, ADCS analysis. PowerShell-first, Python-augmented.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03 — Analysis → Plan → Delivery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How UIAO turns assessment output into a deterministic transformation</w:t>
      </w:r>
      <w:r>
        <w:t xml:space="preserve"> </w:t>
      </w:r>
      <w:r>
        <w:t xml:space="preserve">plan, validates it, and delivers it via API.</w:t>
      </w:r>
    </w:p>
    <w:bookmarkEnd w:id="15"/>
    <w:bookmarkStart w:id="16" w:name="part-iii-target-delivery"/>
    <w:p>
      <w:pPr>
        <w:pStyle w:val="Heading3"/>
      </w:pPr>
      <w:r>
        <w:t xml:space="preserve">Part III · Target Delivery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04 — Identity: x.500 → Flat Entra ID + OrgPath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OrgTree, dynamic groups, Administrative Units, HR-driven lifecycle.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05 — Policy: GPO → Intune + Conditional Access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Device policy, compliance, configuration profiles, MFA, CA targeting.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06 — Services: DNS, DHCP, IPAM in Hybrid Cloud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AD-integrated DNS → Azure Private Resolver. AD DHCP → governed IPAM.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07 — Compute: Domain-Joined → Entra + Intune + Azure Arc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Device object transformation. Hybrid Join. Arc-projected servers.</w:t>
      </w:r>
    </w:p>
    <w:bookmarkEnd w:id="16"/>
    <w:bookmarkStart w:id="17" w:name="part-iv-hybrid-access-plane"/>
    <w:p>
      <w:pPr>
        <w:pStyle w:val="Heading3"/>
      </w:pPr>
      <w:r>
        <w:t xml:space="preserve">Part IV · Hybrid Access Plane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08 — SASE, Zero Trust, MFA, Certificate-Based Auth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The identity-bound access plane that replaces the AD perimeter.</w:t>
      </w:r>
    </w:p>
    <w:bookmarkEnd w:id="17"/>
    <w:bookmarkStart w:id="18" w:name="part-v-program"/>
    <w:p>
      <w:pPr>
        <w:pStyle w:val="Heading3"/>
      </w:pPr>
      <w:r>
        <w:t xml:space="preserve">Part V · Program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09 — Migration Roadmap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Phased plan, gates, rollback triggers, cutover.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10 — Leadership Takeaway: Instruments vs. Orchestra</w:t>
      </w:r>
      <w:r>
        <w:t xml:space="preserve"> </w:t>
      </w:r>
      <w:r>
        <w:rPr>
          <w:i/>
          <w:iCs/>
        </w:rPr>
        <w:t xml:space="preserve">(to author)</w:t>
      </w:r>
      <w:r>
        <w:t xml:space="preserve"> </w:t>
      </w:r>
      <w:r>
        <w:t xml:space="preserve">—</w:t>
      </w:r>
      <w:r>
        <w:t xml:space="preserve"> </w:t>
      </w:r>
      <w:r>
        <w:t xml:space="preserve">What UIAO actually is, why it matters, and how to evaluate it.</w:t>
      </w:r>
    </w:p>
    <w:bookmarkEnd w:id="18"/>
    <w:bookmarkEnd w:id="19"/>
    <w:bookmarkStart w:id="21" w:name="how-to-read-this-series"/>
    <w:p>
      <w:pPr>
        <w:pStyle w:val="Heading2"/>
      </w:pPr>
      <w:r>
        <w:t xml:space="preserve">How to read this series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Audience</w:t>
            </w:r>
          </w:p>
        </w:tc>
        <w:tc>
          <w:tcPr/>
          <w:p>
            <w:pPr>
              <w:pStyle w:val="Compact"/>
            </w:pPr>
            <w:r>
              <w:t xml:space="preserve">Recommended path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CIO / CISO / program sponsor</w:t>
            </w:r>
          </w:p>
        </w:tc>
        <w:tc>
          <w:tcPr/>
          <w:p>
            <w:pPr>
              <w:pStyle w:val="Compact"/>
            </w:pPr>
            <w:r>
              <w:t xml:space="preserve">00 → 10 → 09 (the</w:t>
            </w:r>
            <w:r>
              <w:t xml:space="preserve"> </w:t>
            </w:r>
            <w:r>
              <w:t xml:space="preserve">“why”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t xml:space="preserve">“takeaway”</w:t>
            </w:r>
            <w:r>
              <w:t xml:space="preserve"> </w:t>
            </w:r>
            <w:r>
              <w:t xml:space="preserve">bookends)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Identity architect</w:t>
            </w:r>
          </w:p>
        </w:tc>
        <w:tc>
          <w:tcPr/>
          <w:p>
            <w:pPr>
              <w:pStyle w:val="Compact"/>
            </w:pPr>
            <w:r>
              <w:t xml:space="preserve">00 → 04 → 05 → 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Infrastructure architect</w:t>
            </w:r>
          </w:p>
        </w:tc>
        <w:tc>
          <w:tcPr/>
          <w:p>
            <w:pPr>
              <w:pStyle w:val="Compact"/>
            </w:pPr>
            <w:r>
              <w:t xml:space="preserve">00 → 01 → 06 → 07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Modernization program manager</w:t>
            </w:r>
          </w:p>
        </w:tc>
        <w:tc>
          <w:tcPr/>
          <w:p>
            <w:pPr>
              <w:pStyle w:val="Compact"/>
            </w:pPr>
            <w:r>
              <w:t xml:space="preserve">00 → 03 → 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Platform engineer (building the server)</w:t>
            </w:r>
          </w:p>
        </w:tc>
        <w:tc>
          <w:tcPr/>
          <w:p>
            <w:pPr>
              <w:pStyle w:val="Compact"/>
            </w:pPr>
            <w:r>
              <w:t xml:space="preserve">01 → 02 → 03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3PAO assessor</w:t>
            </w:r>
          </w:p>
        </w:tc>
        <w:tc>
          <w:tcPr/>
          <w:p>
            <w:pPr>
              <w:pStyle w:val="Compact"/>
            </w:pPr>
            <w:r>
              <w:t xml:space="preserve">Read in full; cross-reference to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Compliance pillar</w:t>
              </w:r>
            </w:hyperlink>
          </w:p>
        </w:tc>
      </w:tr>
    </w:tbl>
    <w:bookmarkEnd w:id="21"/>
    <w:bookmarkStart w:id="25" w:name="source-material"/>
    <w:p>
      <w:pPr>
        <w:pStyle w:val="Heading2"/>
      </w:pPr>
      <w:r>
        <w:t xml:space="preserve">Source material</w:t>
      </w:r>
    </w:p>
    <w:p>
      <w:pPr>
        <w:pStyle w:val="FirstParagraph"/>
      </w:pPr>
      <w:r>
        <w:t xml:space="preserve">Each chapter pulls from existing canonical sources and Posted reference</w:t>
      </w:r>
      <w:r>
        <w:t xml:space="preserve"> </w:t>
      </w:r>
      <w:r>
        <w:t xml:space="preserve">implementations:</w:t>
      </w:r>
    </w:p>
    <w:p>
      <w:pPr>
        <w:pStyle w:val="Compact"/>
        <w:numPr>
          <w:ilvl w:val="0"/>
          <w:numId w:val="1006"/>
        </w:numPr>
      </w:pPr>
      <w:hyperlink r:id="rId22">
        <w:r>
          <w:rPr>
            <w:rStyle w:val="Hyperlink"/>
          </w:rPr>
          <w:t xml:space="preserve">Modernization canon</w:t>
        </w:r>
      </w:hyperlink>
      <w:r>
        <w:t xml:space="preserve"> </w:t>
      </w:r>
      <w:r>
        <w:t xml:space="preserve">— MOD_A..Z, DM_010..080.</w:t>
      </w:r>
    </w:p>
    <w:p>
      <w:pPr>
        <w:pStyle w:val="Compact"/>
        <w:numPr>
          <w:ilvl w:val="0"/>
          <w:numId w:val="1006"/>
        </w:numPr>
      </w:pPr>
      <w:hyperlink r:id="rId23">
        <w:r>
          <w:rPr>
            <w:rStyle w:val="Hyperlink"/>
          </w:rPr>
          <w:t xml:space="preserve">Platform Server Build Guide</w:t>
        </w:r>
      </w:hyperlink>
      <w:r>
        <w:t xml:space="preserve"> </w:t>
      </w:r>
      <w:r>
        <w:t xml:space="preserve">— authored 2026-04-23.</w:t>
      </w:r>
    </w:p>
    <w:p>
      <w:pPr>
        <w:pStyle w:val="Compact"/>
        <w:numPr>
          <w:ilvl w:val="0"/>
          <w:numId w:val="1006"/>
        </w:numPr>
      </w:pPr>
      <w:hyperlink r:id="rId24">
        <w:r>
          <w:rPr>
            <w:rStyle w:val="Hyperlink"/>
          </w:rPr>
          <w:t xml:space="preserve">Taxonomy working doc</w:t>
        </w:r>
      </w:hyperlink>
      <w:r>
        <w:t xml:space="preserve"> </w:t>
      </w:r>
      <w:r>
        <w:t xml:space="preserve">— §3 Posted mapping.</w:t>
      </w:r>
    </w:p>
    <w:p>
      <w:pPr>
        <w:pStyle w:val="Compact"/>
        <w:numPr>
          <w:ilvl w:val="0"/>
          <w:numId w:val="1006"/>
        </w:numPr>
      </w:pPr>
      <w:r>
        <w:t xml:space="preserve">Posted reference implementations in</w:t>
      </w:r>
      <w:r>
        <w:t xml:space="preserve"> </w:t>
      </w:r>
      <w:r>
        <w:rPr>
          <w:rStyle w:val="VerbatimChar"/>
        </w:rPr>
        <w:t xml:space="preserve">inbox/Posted/</w:t>
      </w:r>
      <w:r>
        <w:t xml:space="preserve">: Identity Modernization</w:t>
      </w:r>
      <w:r>
        <w:t xml:space="preserve"> </w:t>
      </w:r>
      <w:r>
        <w:t xml:space="preserve">Guide, PKI Modernization Guide, DNS Modernization Guide, AD Interaction</w:t>
      </w:r>
      <w:r>
        <w:t xml:space="preserve"> </w:t>
      </w:r>
      <w:r>
        <w:t xml:space="preserve">Guide, AD Computer Object Conversion Guide, Gap Analysis.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22" Target="../../../modernization/index.html" TargetMode="External" /><Relationship Type="http://schemas.openxmlformats.org/officeDocument/2006/relationships/hyperlink" Id="rId24" Target="../../../planning/customer-documents-taxonomy.html" TargetMode="External" /><Relationship Type="http://schemas.openxmlformats.org/officeDocument/2006/relationships/hyperlink" Id="rId20" Target="../../compliance/index.html" TargetMode="External" /><Relationship Type="http://schemas.openxmlformats.org/officeDocument/2006/relationships/hyperlink" Id="rId23" Target="../../platform/platform-server-build.html" TargetMode="External" /><Relationship Type="http://schemas.openxmlformats.org/officeDocument/2006/relationships/hyperlink" Id="rId13" Target="00-introduct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../../modernization/index.html" TargetMode="External" /><Relationship Type="http://schemas.openxmlformats.org/officeDocument/2006/relationships/hyperlink" Id="rId24" Target="../../../planning/customer-documents-taxonomy.html" TargetMode="External" /><Relationship Type="http://schemas.openxmlformats.org/officeDocument/2006/relationships/hyperlink" Id="rId20" Target="../../compliance/index.html" TargetMode="External" /><Relationship Type="http://schemas.openxmlformats.org/officeDocument/2006/relationships/hyperlink" Id="rId23" Target="../../platform/platform-server-build.html" TargetMode="External" /><Relationship Type="http://schemas.openxmlformats.org/officeDocument/2006/relationships/hyperlink" Id="rId13" Target="00-introduc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Client-Server to Hybrid-Cloud Transformation</dc:title>
  <dc:creator/>
  <cp:keywords/>
  <dcterms:created xsi:type="dcterms:W3CDTF">2026-05-06T19:44:56Z</dcterms:created>
  <dcterms:modified xsi:type="dcterms:W3CDTF">2026-05-06T19:44:56Z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Federal CIOs · CISOs · modernization program managers · identity + infrastructure architects</vt:lpwstr>
  </property>
  <property fmtid="{D5CDD505-2E9C-101B-9397-08002B2CF9AE}" pid="4" name="biblio-config">
    <vt:lpwstr>True</vt:lpwstr>
  </property>
  <property fmtid="{D5CDD505-2E9C-101B-9397-08002B2CF9AE}" pid="5" name="canon-source">
    <vt:lpwstr>docs/modernization/ + docs/planning/customer-documents-taxonomy.md</vt:lpwstr>
  </property>
  <property fmtid="{D5CDD505-2E9C-101B-9397-08002B2CF9AE}" pid="6" name="date">
    <vt:lpwstr>2026-04-24</vt:lpwstr>
  </property>
  <property fmtid="{D5CDD505-2E9C-101B-9397-08002B2CF9AE}" pid="7" name="doc-type">
    <vt:lpwstr>series-landing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eries-id">
    <vt:lpwstr>client-server-to-hybrid-cloud</vt:lpwstr>
  </property>
  <property fmtid="{D5CDD505-2E9C-101B-9397-08002B2CF9AE}" pid="14" name="subtitle">
    <vt:lpwstr>AD, GPO, DNS, DHCP, Kerberos, and PKI → Entra ID, Intune, Azure Arc, IPAM, SASE, and Zero Trust</vt:lpwstr>
  </property>
  <property fmtid="{D5CDD505-2E9C-101B-9397-08002B2CF9AE}" pid="15" name="toc-title">
    <vt:lpwstr>Table of contents</vt:lpwstr>
  </property>
</Properties>
</file>