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D. Directory Migration (DM_*)</w:t>
      </w:r>
    </w:p>
    <w:p>
      <w:pPr>
        <w:pStyle w:val="Subtitle"/>
      </w:pPr>
      <w:r>
        <w:t xml:space="preserve">Eight adapter interfaces for every infrastructure service AD was holding together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d.-directory-migration-dm_"/>
    <w:p>
      <w:pPr>
        <w:pStyle w:val="Heading1"/>
      </w:pPr>
      <w:r>
        <w:t xml:space="preserve">D. Directory Migration (DM_*)</w:t>
      </w:r>
    </w:p>
    <w:p>
      <w:pPr>
        <w:pStyle w:val="FirstParagraph"/>
      </w:pPr>
      <w:r>
        <w:t xml:space="preserve">Active Directory was the implicit governance anchor for eleven categories</w:t>
      </w:r>
      <w:r>
        <w:t xml:space="preserve"> </w:t>
      </w:r>
      <w:r>
        <w:t xml:space="preserve">of infrastructure objects. When AD goes away, each must be migrated to a</w:t>
      </w:r>
      <w:r>
        <w:t xml:space="preserve"> </w:t>
      </w:r>
      <w:r>
        <w:t xml:space="preserve">modern equivalent with governance preserved. DM_* adapters define the</w:t>
      </w:r>
      <w:r>
        <w:t xml:space="preserve"> </w:t>
      </w:r>
      <w:r>
        <w:t xml:space="preserve">interface; vendor implementations plug in underneath.</w:t>
      </w:r>
    </w:p>
    <w:bookmarkStart w:id="10" w:name="leaves"/>
    <w:p>
      <w:pPr>
        <w:pStyle w:val="Heading2"/>
      </w:pPr>
      <w:r>
        <w:t xml:space="preserve">Leaves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Adapter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D.1</w:t>
            </w:r>
          </w:p>
        </w:tc>
        <w:tc>
          <w:tcPr/>
          <w:p>
            <w:pPr>
              <w:pStyle w:val="Compact"/>
            </w:pPr>
            <w:r>
              <w:t xml:space="preserve">IPAM Adapter — DM_010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D.2</w:t>
            </w:r>
          </w:p>
        </w:tc>
        <w:tc>
          <w:tcPr/>
          <w:p>
            <w:pPr>
              <w:pStyle w:val="Compact"/>
            </w:pPr>
            <w:r>
              <w:t xml:space="preserve">DNS Adapter — DM_015</w:t>
            </w:r>
          </w:p>
        </w:tc>
        <w:tc>
          <w:tcPr/>
          <w:p>
            <w:pPr>
              <w:pStyle w:val="Compact"/>
            </w:pPr>
            <w:r>
              <w:t xml:space="preserve">⚠</w:t>
            </w:r>
            <w:r>
              <w:t xml:space="preserve"> </w:t>
            </w:r>
            <w:r>
              <w:rPr>
                <w:i/>
                <w:iCs/>
              </w:rPr>
              <w:t xml:space="preserve">gap — not in registry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D.3</w:t>
            </w:r>
          </w:p>
        </w:tc>
        <w:tc>
          <w:tcPr/>
          <w:p>
            <w:pPr>
              <w:pStyle w:val="Compact"/>
            </w:pPr>
            <w:r>
              <w:t xml:space="preserve">DHCP Adapter — DM_016</w:t>
            </w:r>
          </w:p>
        </w:tc>
        <w:tc>
          <w:tcPr/>
          <w:p>
            <w:pPr>
              <w:pStyle w:val="Compact"/>
            </w:pPr>
            <w:r>
              <w:t xml:space="preserve">⚠</w:t>
            </w:r>
            <w:r>
              <w:t xml:space="preserve"> </w:t>
            </w:r>
            <w:r>
              <w:rPr>
                <w:i/>
                <w:iCs/>
              </w:rPr>
              <w:t xml:space="preserve">gap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D.4</w:t>
            </w:r>
          </w:p>
        </w:tc>
        <w:tc>
          <w:tcPr/>
          <w:p>
            <w:pPr>
              <w:pStyle w:val="Compact"/>
            </w:pPr>
            <w:r>
              <w:t xml:space="preserve">PKI / ADCS Adapter — DM_020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D.5</w:t>
            </w:r>
          </w:p>
        </w:tc>
        <w:tc>
          <w:tcPr/>
          <w:p>
            <w:pPr>
              <w:pStyle w:val="Compact"/>
            </w:pPr>
            <w:r>
              <w:t xml:space="preserve">RADIUS / NPS Adapter — DM_030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D.6</w:t>
            </w:r>
          </w:p>
        </w:tc>
        <w:tc>
          <w:tcPr/>
          <w:p>
            <w:pPr>
              <w:pStyle w:val="Compact"/>
            </w:pPr>
            <w:r>
              <w:t xml:space="preserve">LDAP Proxy Adapter — DM_040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D.7</w:t>
            </w:r>
          </w:p>
        </w:tc>
        <w:tc>
          <w:tcPr/>
          <w:p>
            <w:pPr>
              <w:pStyle w:val="Compact"/>
            </w:pPr>
            <w:r>
              <w:t xml:space="preserve">Sync Engine Adapter — DM_050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D.8</w:t>
            </w:r>
          </w:p>
        </w:tc>
        <w:tc>
          <w:tcPr/>
          <w:p>
            <w:pPr>
              <w:pStyle w:val="Compact"/>
            </w:pPr>
            <w:r>
              <w:t xml:space="preserve">Device Management Adapter — DM_060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D.9</w:t>
            </w:r>
          </w:p>
        </w:tc>
        <w:tc>
          <w:tcPr/>
          <w:p>
            <w:pPr>
              <w:pStyle w:val="Compact"/>
            </w:pPr>
            <w:r>
              <w:t xml:space="preserve">NTP Adapter — DM_070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D.10</w:t>
            </w:r>
          </w:p>
        </w:tc>
        <w:tc>
          <w:tcPr/>
          <w:p>
            <w:pPr>
              <w:pStyle w:val="Compact"/>
            </w:pPr>
            <w:r>
              <w:t xml:space="preserve">DFS Adapter — DM_080</w:t>
            </w:r>
          </w:p>
        </w:tc>
        <w:tc>
          <w:tcPr/>
          <w:p>
            <w:pPr>
              <w:pStyle w:val="Compact"/>
            </w:pPr>
            <w:r>
              <w:t xml:space="preserve">Source present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D.11</w:t>
            </w:r>
          </w:p>
        </w:tc>
        <w:tc>
          <w:tcPr/>
          <w:p>
            <w:pPr>
              <w:pStyle w:val="Compact"/>
            </w:pPr>
            <w:r>
              <w:t xml:space="preserve">SPN / App Registration — DM_085</w:t>
            </w:r>
          </w:p>
        </w:tc>
        <w:tc>
          <w:tcPr/>
          <w:p>
            <w:pPr>
              <w:pStyle w:val="Compact"/>
            </w:pPr>
            <w:r>
              <w:t xml:space="preserve">⚠</w:t>
            </w:r>
            <w:r>
              <w:t xml:space="preserve"> </w:t>
            </w:r>
            <w:r>
              <w:rPr>
                <w:i/>
                <w:iCs/>
              </w:rPr>
              <w:t xml:space="preserve">gap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D.12</w:t>
            </w:r>
          </w:p>
        </w:tc>
        <w:tc>
          <w:tcPr/>
          <w:p>
            <w:pPr>
              <w:pStyle w:val="Compact"/>
            </w:pPr>
            <w:r>
              <w:t xml:space="preserve">Trust Relationship — DM_090</w:t>
            </w:r>
          </w:p>
        </w:tc>
        <w:tc>
          <w:tcPr/>
          <w:p>
            <w:pPr>
              <w:pStyle w:val="Compact"/>
            </w:pPr>
            <w:r>
              <w:t xml:space="preserve">⚠</w:t>
            </w:r>
            <w:r>
              <w:t xml:space="preserve"> </w:t>
            </w:r>
            <w:r>
              <w:rPr>
                <w:i/>
                <w:iCs/>
              </w:rPr>
              <w:t xml:space="preserve">gap</w:t>
            </w:r>
          </w:p>
        </w:tc>
      </w:tr>
    </w:tbl>
    <w:p>
      <w:pPr>
        <w:pStyle w:val="BodyText"/>
      </w:pPr>
      <w:r>
        <w:t xml:space="preserve">Canon surface:</w:t>
      </w:r>
      <w:r>
        <w:t xml:space="preserve"> </w:t>
      </w:r>
      <w:hyperlink r:id="rId9">
        <w:r>
          <w:rPr>
            <w:rStyle w:val="Hyperlink"/>
          </w:rPr>
          <w:t xml:space="preserve">modernization/directory-migration.qmd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../modernization/directory-migra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../modernization/directory-migr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Directory Migration (DM_*)</dc:title>
  <dc:creator/>
  <cp:keywords/>
  <dcterms:created xsi:type="dcterms:W3CDTF">2026-05-06T19:44:57Z</dcterms:created>
  <dcterms:modified xsi:type="dcterms:W3CDTF">2026-05-06T19:44:57Z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D</vt:lpwstr>
  </property>
  <property fmtid="{D5CDD505-2E9C-101B-9397-08002B2CF9AE}" pid="14" name="subtitle">
    <vt:lpwstr>Eight adapter interfaces for every infrastructure service AD was holding together</vt:lpwstr>
  </property>
  <property fmtid="{D5CDD505-2E9C-101B-9397-08002B2CF9AE}" pid="15" name="toc-title">
    <vt:lpwstr>Table of contents</vt:lpwstr>
  </property>
</Properties>
</file>