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Modernization</w:t>
      </w:r>
    </w:p>
    <w:p>
      <w:pPr>
        <w:pStyle w:val="Subtitle"/>
      </w:pPr>
      <w:r>
        <w:t xml:space="preserve">Microsoft Client-Server to Hybrid-Cloud — transformation engine, target surface, program management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modernization"/>
    <w:p>
      <w:pPr>
        <w:pStyle w:val="Heading1"/>
      </w:pPr>
      <w:r>
        <w:t xml:space="preserve">Modernization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what transforms, what it transforms into, and the machinery that moves</w:t>
      </w:r>
      <w:r>
        <w:rPr>
          <w:b/>
          <w:bCs/>
        </w:rPr>
        <w:t xml:space="preserve"> </w:t>
      </w:r>
      <w:r>
        <w:rPr>
          <w:b/>
          <w:bCs/>
        </w:rPr>
        <w:t xml:space="preserve">data between the two.</w:t>
      </w:r>
      <w:r>
        <w:t xml:space="preserve"> </w:t>
      </w:r>
      <w:r>
        <w:t xml:space="preserve">UIAO modernization retires the AD-centric</w:t>
      </w:r>
      <w:r>
        <w:t xml:space="preserve"> </w:t>
      </w:r>
      <w:r>
        <w:t xml:space="preserve">Client/Server-era estate — Active Directory, GPO, DNS, DHCP, Kerberos, ADCS,</w:t>
      </w:r>
      <w:r>
        <w:t xml:space="preserve"> </w:t>
      </w:r>
      <w:r>
        <w:t xml:space="preserve">domain-joined devices — and governs its replacement in the Hybrid-Cloud</w:t>
      </w:r>
      <w:r>
        <w:t xml:space="preserve"> </w:t>
      </w:r>
      <w:r>
        <w:t xml:space="preserve">target surface of Entra ID, Intune, Azure Arc, IPAM, SASE, and Zero Trust.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Narrative entry point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New here? Start with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Client-Server to Hybrid-Cloud</w:t>
              </w:r>
            </w:hyperlink>
            <w:r>
              <w:t xml:space="preserve"> </w:t>
            </w:r>
            <w:r>
              <w:t xml:space="preserve">— the 11-chapter narrative series that walks the full transformation arc,</w:t>
            </w:r>
            <w:r>
              <w:t xml:space="preserve"> </w:t>
            </w:r>
            <w:r>
              <w:t xml:space="preserve">from AD’s hidden governance surface to the Hybrid-Cloud access plane.</w:t>
            </w:r>
          </w:p>
          <w:p/>
        </w:tc>
      </w:tr>
    </w:tbl>
    <w:bookmarkStart w:id="21" w:name="sub-categories"/>
    <w:p>
      <w:pPr>
        <w:pStyle w:val="Heading2"/>
      </w:pPr>
      <w:r>
        <w:t xml:space="preserve">Sub-categories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Leaf count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</w:rPr>
                <w:t xml:space="preserve">A. Platform Substrate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WS2025, IIS, Gitea, Kerberos, PKI, backup, hardening — the host that runs everything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B. Transformation Engine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PowerShell + Python + API scripts that analyse, plan, and deliver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hyperlink r:id="rId15">
              <w:r>
                <w:rPr>
                  <w:rStyle w:val="Hyperlink"/>
                </w:rPr>
                <w:t xml:space="preserve">C. Identity (OrgTree / MOD_*)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OrgPath, dynamic groups, AUs, delegation, migration runbook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</w:rPr>
                <w:t xml:space="preserve">D. Directory Migration (DM_*)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IPAM, DNS, DHCP, PKI, RADIUS, LDAP, sync, devices, NTP, DFS, SPN, Trusts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hyperlink r:id="rId17">
              <w:r>
                <w:rPr>
                  <w:rStyle w:val="Hyperlink"/>
                </w:rPr>
                <w:t xml:space="preserve">E. Target Surface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Entra ID, Intune, Azure Arc, M365, AUs, CA, PIM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F. Access Plane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MFA, Zero Trust, SASE, CBA, PAM, break-glass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hyperlink r:id="rId19">
              <w:r>
                <w:rPr>
                  <w:rStyle w:val="Hyperlink"/>
                </w:rPr>
                <w:t xml:space="preserve">G. Network Transformation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SD-WAN, IPAM, DNS, DHCP, firewall, 802.1X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H. Program Management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Master Project Plan, roadmap, ADRs, ServiceNow, SAM, training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</w:tbl>
    <w:bookmarkEnd w:id="21"/>
    <w:bookmarkStart w:id="22" w:name="flagship-narrative"/>
    <w:p>
      <w:pPr>
        <w:pStyle w:val="Heading2"/>
      </w:pPr>
      <w:r>
        <w:t xml:space="preserve">Flagship narrative</w:t>
      </w:r>
    </w:p>
    <w:p>
      <w:pPr>
        <w:pStyle w:val="Compact"/>
        <w:numPr>
          <w:ilvl w:val="0"/>
          <w:numId w:val="1001"/>
        </w:numPr>
      </w:pPr>
      <w:hyperlink r:id="rId12">
        <w:r>
          <w:rPr>
            <w:rStyle w:val="Hyperlink"/>
          </w:rPr>
          <w:t xml:space="preserve">Client-Server to Hybrid-Cloud</w:t>
        </w:r>
      </w:hyperlink>
      <w:r>
        <w:t xml:space="preserve"> </w:t>
      </w:r>
      <w:r>
        <w:t xml:space="preserve">— 11 chapters</w:t>
      </w:r>
      <w:r>
        <w:t xml:space="preserve"> </w:t>
      </w:r>
      <w:r>
        <w:t xml:space="preserve">covering the full modernization arc from AD forest to governed Hybrid-Cloud</w:t>
      </w:r>
      <w:r>
        <w:t xml:space="preserve"> </w:t>
      </w:r>
      <w:r>
        <w:t xml:space="preserve">target surface.</w:t>
      </w:r>
    </w:p>
    <w:bookmarkEnd w:id="22"/>
    <w:bookmarkStart w:id="23" w:name="canonical-invariants"/>
    <w:p>
      <w:pPr>
        <w:pStyle w:val="Heading2"/>
      </w:pPr>
      <w:r>
        <w:t xml:space="preserve">Canonical invariants</w:t>
      </w:r>
    </w:p>
    <w:p>
      <w:pPr>
        <w:pStyle w:val="FirstParagraph"/>
      </w:pPr>
      <w:r>
        <w:t xml:space="preserve">Every page respects: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Boundary:</w:t>
      </w:r>
      <w:r>
        <w:t xml:space="preserve"> </w:t>
      </w:r>
      <w:r>
        <w:t xml:space="preserve">GCC-Moderate for M365 SaaS; IaaS (Arc, Azure) per ADR-001</w:t>
      </w:r>
      <w:r>
        <w:t xml:space="preserve"> </w:t>
      </w:r>
      <w:r>
        <w:t xml:space="preserve">commercial-FedRAMP exception.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Source of truth:</w:t>
      </w:r>
      <w:r>
        <w:t xml:space="preserve"> </w:t>
      </w:r>
      <w:r>
        <w:t xml:space="preserve">every target surface state derives from a canonical</w:t>
      </w:r>
      <w:r>
        <w:t xml:space="preserve"> </w:t>
      </w:r>
      <w:r>
        <w:t xml:space="preserve">plan stored in Gitea. UIAO does not mutate SSOT; it governs it.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Determinism:</w:t>
      </w:r>
      <w:r>
        <w:t xml:space="preserve"> </w:t>
      </w:r>
      <w:r>
        <w:t xml:space="preserve">the same inputs produce the same outputs. No hidden state,</w:t>
      </w:r>
      <w:r>
        <w:t xml:space="preserve"> </w:t>
      </w:r>
      <w:r>
        <w:t xml:space="preserve">no human-in-the-loop interpretation.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Provenance:</w:t>
      </w:r>
      <w:r>
        <w:t xml:space="preserve"> </w:t>
      </w:r>
      <w:r>
        <w:t xml:space="preserve">every delivered change is attributable to a Git commit + a</w:t>
      </w:r>
      <w:r>
        <w:t xml:space="preserve"> </w:t>
      </w:r>
      <w:r>
        <w:t xml:space="preserve">plan artifact + an operator or automation.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8" Target="access-plane/index.html" TargetMode="External" /><Relationship Type="http://schemas.openxmlformats.org/officeDocument/2006/relationships/hyperlink" Id="rId12" Target="client-server-to-hybrid-cloud/index.html" TargetMode="External" /><Relationship Type="http://schemas.openxmlformats.org/officeDocument/2006/relationships/hyperlink" Id="rId16" Target="directory-migration/index.html" TargetMode="External" /><Relationship Type="http://schemas.openxmlformats.org/officeDocument/2006/relationships/hyperlink" Id="rId15" Target="identity-orgtree/index.html" TargetMode="External" /><Relationship Type="http://schemas.openxmlformats.org/officeDocument/2006/relationships/hyperlink" Id="rId19" Target="network-transformation/index.html" TargetMode="External" /><Relationship Type="http://schemas.openxmlformats.org/officeDocument/2006/relationships/hyperlink" Id="rId13" Target="platform-substrate/index.html" TargetMode="External" /><Relationship Type="http://schemas.openxmlformats.org/officeDocument/2006/relationships/hyperlink" Id="rId20" Target="program-management/index.html" TargetMode="External" /><Relationship Type="http://schemas.openxmlformats.org/officeDocument/2006/relationships/hyperlink" Id="rId17" Target="target-surface/index.html" TargetMode="External" /><Relationship Type="http://schemas.openxmlformats.org/officeDocument/2006/relationships/hyperlink" Id="rId14" Target="transformation-engine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access-plane/index.html" TargetMode="External" /><Relationship Type="http://schemas.openxmlformats.org/officeDocument/2006/relationships/hyperlink" Id="rId12" Target="client-server-to-hybrid-cloud/index.html" TargetMode="External" /><Relationship Type="http://schemas.openxmlformats.org/officeDocument/2006/relationships/hyperlink" Id="rId16" Target="directory-migration/index.html" TargetMode="External" /><Relationship Type="http://schemas.openxmlformats.org/officeDocument/2006/relationships/hyperlink" Id="rId15" Target="identity-orgtree/index.html" TargetMode="External" /><Relationship Type="http://schemas.openxmlformats.org/officeDocument/2006/relationships/hyperlink" Id="rId19" Target="network-transformation/index.html" TargetMode="External" /><Relationship Type="http://schemas.openxmlformats.org/officeDocument/2006/relationships/hyperlink" Id="rId13" Target="platform-substrate/index.html" TargetMode="External" /><Relationship Type="http://schemas.openxmlformats.org/officeDocument/2006/relationships/hyperlink" Id="rId20" Target="program-management/index.html" TargetMode="External" /><Relationship Type="http://schemas.openxmlformats.org/officeDocument/2006/relationships/hyperlink" Id="rId17" Target="target-surface/index.html" TargetMode="External" /><Relationship Type="http://schemas.openxmlformats.org/officeDocument/2006/relationships/hyperlink" Id="rId14" Target="transformation-engin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</dc:title>
  <dc:creator/>
  <cp:keywords/>
  <dcterms:created xsi:type="dcterms:W3CDTF">2026-05-06T19:45:06Z</dcterms:created>
  <dcterms:modified xsi:type="dcterms:W3CDTF">2026-05-06T19:45:06Z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CIOs · IT modernization leads · platform engineers · identity architects</vt:lpwstr>
  </property>
  <property fmtid="{D5CDD505-2E9C-101B-9397-08002B2CF9AE}" pid="4" name="biblio-config">
    <vt:lpwstr>True</vt:lpwstr>
  </property>
  <property fmtid="{D5CDD505-2E9C-101B-9397-08002B2CF9AE}" pid="5" name="canon-source">
    <vt:lpwstr>docs/planning/customer-documents-taxonomy.md §2.1</vt:lpwstr>
  </property>
  <property fmtid="{D5CDD505-2E9C-101B-9397-08002B2CF9AE}" pid="6" name="date">
    <vt:lpwstr>2026-04-24</vt:lpwstr>
  </property>
  <property fmtid="{D5CDD505-2E9C-101B-9397-08002B2CF9AE}" pid="7" name="doc-type">
    <vt:lpwstr>pillar-landing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pillar">
    <vt:lpwstr>modernization</vt:lpwstr>
  </property>
  <property fmtid="{D5CDD505-2E9C-101B-9397-08002B2CF9AE}" pid="14" name="subtitle">
    <vt:lpwstr>Microsoft Client-Server to Hybrid-Cloud — transformation engine, target surface, program management</vt:lpwstr>
  </property>
  <property fmtid="{D5CDD505-2E9C-101B-9397-08002B2CF9AE}" pid="15" name="toc-title">
    <vt:lpwstr>Table of contents</vt:lpwstr>
  </property>
</Properties>
</file>