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G. Network Transformation</w:t>
      </w:r>
    </w:p>
    <w:p>
      <w:pPr>
        <w:pStyle w:val="Subtitle"/>
      </w:pPr>
      <w:r>
        <w:t xml:space="preserve">SD-WAN, IPAM, DNS, DHCP, firewall, 802.1X — in the Hybrid-Cloud model</w:t>
      </w:r>
    </w:p>
    <w:p>
      <w:pPr>
        <w:pStyle w:val="Date"/>
      </w:pPr>
      <w:r>
        <w:t xml:space="preserve">2026-04-24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bookmarkStart w:id="12" w:name="g.-network-transformation"/>
    <w:p>
      <w:pPr>
        <w:pStyle w:val="Heading1"/>
      </w:pPr>
      <w:r>
        <w:t xml:space="preserve">G. Network Transformation</w:t>
      </w:r>
    </w:p>
    <w:p>
      <w:pPr>
        <w:pStyle w:val="FirstParagraph"/>
      </w:pPr>
      <w:r>
        <w:t xml:space="preserve">Network services that AD silently governed — DNS, DHCP, RADIUS/802.1X,</w:t>
      </w:r>
      <w:r>
        <w:t xml:space="preserve"> </w:t>
      </w:r>
      <w:r>
        <w:t xml:space="preserve">and the network-perimeter model itself — must be re-anchored to the</w:t>
      </w:r>
      <w:r>
        <w:t xml:space="preserve"> </w:t>
      </w:r>
      <w:r>
        <w:t xml:space="preserve">Hybrid-Cloud access plane. This sub-category covers the network-side</w:t>
      </w:r>
      <w:r>
        <w:t xml:space="preserve"> </w:t>
      </w:r>
      <w:r>
        <w:t xml:space="preserve">transformation; identity is covered in C, and access enforcement in F.</w:t>
      </w:r>
    </w:p>
    <w:bookmarkStart w:id="11" w:name="leaves"/>
    <w:p>
      <w:pPr>
        <w:pStyle w:val="Heading2"/>
      </w:pPr>
      <w:r>
        <w:t xml:space="preserve">Leaves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G.1</w:t>
      </w:r>
      <w:r>
        <w:t xml:space="preserve"> </w:t>
      </w:r>
      <w:r>
        <w:t xml:space="preserve">SD-WAN —</w:t>
      </w:r>
      <w:r>
        <w:t xml:space="preserve"> </w:t>
      </w:r>
      <w:hyperlink r:id="rId9">
        <w:r>
          <w:rPr>
            <w:rStyle w:val="Hyperlink"/>
          </w:rPr>
          <w:t xml:space="preserve">modernization-specs/sdwan</w:t>
        </w:r>
      </w:hyperlink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G.2</w:t>
      </w:r>
      <w:r>
        <w:t xml:space="preserve"> </w:t>
      </w:r>
      <w:r>
        <w:t xml:space="preserve">IPAM (hybrid address governance) — see DM_010 (§D.1)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G.3</w:t>
      </w:r>
      <w:r>
        <w:t xml:space="preserve"> </w:t>
      </w:r>
      <w:r>
        <w:t xml:space="preserve">DNS (hybrid resolution) — see DM_015 (§D.2, gap)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G.4</w:t>
      </w:r>
      <w:r>
        <w:t xml:space="preserve"> </w:t>
      </w:r>
      <w:r>
        <w:t xml:space="preserve">DHCP (scoped, governed) — see DM_016 (§D.3, gap)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G.5</w:t>
      </w:r>
      <w:r>
        <w:t xml:space="preserve"> </w:t>
      </w:r>
      <w:r>
        <w:t xml:space="preserve">Palo Alto (firewall / edge) —</w:t>
      </w:r>
      <w:r>
        <w:t xml:space="preserve"> </w:t>
      </w:r>
      <w:hyperlink r:id="rId10">
        <w:r>
          <w:rPr>
            <w:rStyle w:val="Hyperlink"/>
          </w:rPr>
          <w:t xml:space="preserve">adapter</w:t>
        </w:r>
      </w:hyperlink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G.6</w:t>
      </w:r>
      <w:r>
        <w:t xml:space="preserve"> </w:t>
      </w:r>
      <w:r>
        <w:t xml:space="preserve">RADIUS / 802.1X modernization — see DM_030 (§D.5)</w:t>
      </w:r>
    </w:p>
    <w:bookmarkEnd w:id="11"/>
    <w:bookmarkEnd w:id="12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d73a49"/>
    </w:rPr>
  </w:style>
  <w:style w:type="character" w:customStyle="1" w:styleId="DataTypeTok">
    <w:name w:val="DataTypeTok"/>
    <w:basedOn w:val="VerbatimChar"/>
    <w:rPr>
      <w:color w:val="d73a49"/>
    </w:rPr>
  </w:style>
  <w:style w:type="character" w:customStyle="1" w:styleId="DecValTok">
    <w:name w:val="DecValTok"/>
    <w:basedOn w:val="VerbatimChar"/>
    <w:rPr>
      <w:color w:val="005cc5"/>
    </w:rPr>
  </w:style>
  <w:style w:type="character" w:customStyle="1" w:styleId="BaseNTok">
    <w:name w:val="BaseNTok"/>
    <w:basedOn w:val="VerbatimChar"/>
    <w:rPr>
      <w:color w:val="005cc5"/>
    </w:rPr>
  </w:style>
  <w:style w:type="character" w:customStyle="1" w:styleId="FloatTok">
    <w:name w:val="FloatTok"/>
    <w:basedOn w:val="VerbatimChar"/>
    <w:rPr>
      <w:color w:val="005cc5"/>
    </w:rPr>
  </w:style>
  <w:style w:type="character" w:customStyle="1" w:styleId="ConstantTok">
    <w:name w:val="ConstantTok"/>
    <w:basedOn w:val="VerbatimChar"/>
    <w:rPr>
      <w:color w:val="005cc5"/>
    </w:rPr>
  </w:style>
  <w:style w:type="character" w:customStyle="1" w:styleId="CharTok">
    <w:name w:val="CharTok"/>
    <w:basedOn w:val="VerbatimChar"/>
    <w:rPr>
      <w:color w:val="032f62"/>
    </w:rPr>
  </w:style>
  <w:style w:type="character" w:customStyle="1" w:styleId="SpecialCharTok">
    <w:name w:val="SpecialCharTok"/>
    <w:basedOn w:val="VerbatimChar"/>
    <w:rPr>
      <w:color w:val="005cc5"/>
    </w:rPr>
  </w:style>
  <w:style w:type="character" w:customStyle="1" w:styleId="StringTok">
    <w:name w:val="StringTok"/>
    <w:basedOn w:val="VerbatimChar"/>
    <w:rPr>
      <w:color w:val="032f62"/>
    </w:rPr>
  </w:style>
  <w:style w:type="character" w:customStyle="1" w:styleId="VerbatimStringTok">
    <w:name w:val="VerbatimStringTok"/>
    <w:basedOn w:val="VerbatimChar"/>
    <w:rPr>
      <w:color w:val="032f62"/>
    </w:rPr>
  </w:style>
  <w:style w:type="character" w:customStyle="1" w:styleId="SpecialStringTok">
    <w:name w:val="SpecialStringTok"/>
    <w:basedOn w:val="VerbatimChar"/>
    <w:rPr>
      <w:color w:val="032f62"/>
    </w:rPr>
  </w:style>
  <w:style w:type="character" w:customStyle="1" w:styleId="ImportTok">
    <w:name w:val="ImportTok"/>
    <w:basedOn w:val="VerbatimChar"/>
    <w:rPr>
      <w:color w:val="032f62"/>
    </w:rPr>
  </w:style>
  <w:style w:type="character" w:customStyle="1" w:styleId="CommentTok">
    <w:name w:val="CommentTok"/>
    <w:basedOn w:val="VerbatimChar"/>
    <w:rPr>
      <w:color w:val="6a737d"/>
    </w:rPr>
  </w:style>
  <w:style w:type="character" w:customStyle="1" w:styleId="DocumentationTok">
    <w:name w:val="DocumentationTok"/>
    <w:basedOn w:val="VerbatimChar"/>
    <w:rPr>
      <w:color w:val="6a737d"/>
    </w:rPr>
  </w:style>
  <w:style w:type="character" w:customStyle="1" w:styleId="AnnotationTok">
    <w:name w:val="AnnotationTok"/>
    <w:basedOn w:val="VerbatimChar"/>
    <w:rPr>
      <w:color w:val="6a737d"/>
    </w:rPr>
  </w:style>
  <w:style w:type="character" w:customStyle="1" w:styleId="CommentVarTok">
    <w:name w:val="CommentVarTok"/>
    <w:basedOn w:val="VerbatimChar"/>
    <w:rPr>
      <w:color w:val="6a737d"/>
    </w:rPr>
  </w:style>
  <w:style w:type="character" w:customStyle="1" w:styleId="OtherTok">
    <w:name w:val="OtherTok"/>
    <w:basedOn w:val="VerbatimChar"/>
    <w:rPr>
      <w:color w:val="6f42c1"/>
    </w:rPr>
  </w:style>
  <w:style w:type="character" w:customStyle="1" w:styleId="FunctionTok">
    <w:name w:val="FunctionTok"/>
    <w:basedOn w:val="VerbatimChar"/>
    <w:rPr>
      <w:color w:val="6f42c1"/>
    </w:rPr>
  </w:style>
  <w:style w:type="character" w:customStyle="1" w:styleId="VariableTok">
    <w:name w:val="VariableTok"/>
    <w:basedOn w:val="VerbatimChar"/>
    <w:rPr>
      <w:color w:val="e36209"/>
    </w:rPr>
  </w:style>
  <w:style w:type="character" w:customStyle="1" w:styleId="ControlFlowTok">
    <w:name w:val="ControlFlowTok"/>
    <w:basedOn w:val="VerbatimChar"/>
    <w:rPr>
      <w:color w:val="d73a49"/>
    </w:rPr>
  </w:style>
  <w:style w:type="character" w:customStyle="1" w:styleId="OperatorTok">
    <w:name w:val="OperatorTok"/>
    <w:basedOn w:val="VerbatimChar"/>
    <w:rPr>
      <w:color w:val="24292e"/>
    </w:rPr>
  </w:style>
  <w:style w:type="character" w:customStyle="1" w:styleId="BuiltInTok">
    <w:name w:val="BuiltInTok"/>
    <w:basedOn w:val="VerbatimChar"/>
    <w:rPr>
      <w:color w:val="d73a49"/>
    </w:rPr>
  </w:style>
  <w:style w:type="character" w:customStyle="1" w:styleId="ExtensionTok">
    <w:name w:val="ExtensionTok"/>
    <w:basedOn w:val="VerbatimChar"/>
    <w:rPr>
      <w:b/>
      <w:color w:val="d73a49"/>
    </w:rPr>
  </w:style>
  <w:style w:type="character" w:customStyle="1" w:styleId="PreprocessorTok">
    <w:name w:val="PreprocessorTok"/>
    <w:basedOn w:val="VerbatimChar"/>
    <w:rPr>
      <w:color w:val="d73a49"/>
    </w:rPr>
  </w:style>
  <w:style w:type="character" w:customStyle="1" w:styleId="AttributeTok">
    <w:name w:val="AttributeTok"/>
    <w:basedOn w:val="VerbatimChar"/>
    <w:rPr>
      <w:color w:val="d73a49"/>
    </w:rPr>
  </w:style>
  <w:style w:type="character" w:customStyle="1" w:styleId="RegionMarkerTok">
    <w:name w:val="RegionMarkerTok"/>
    <w:basedOn w:val="VerbatimChar"/>
    <w:rPr>
      <w:color w:val="6a737d"/>
    </w:rPr>
  </w:style>
  <w:style w:type="character" w:customStyle="1" w:styleId="InformationTok">
    <w:name w:val="InformationTok"/>
    <w:basedOn w:val="VerbatimChar"/>
    <w:rPr>
      <w:color w:val="6a737d"/>
    </w:rPr>
  </w:style>
  <w:style w:type="character" w:customStyle="1" w:styleId="WarningTok">
    <w:name w:val="WarningTok"/>
    <w:basedOn w:val="VerbatimChar"/>
    <w:rPr>
      <w:color w:val="ff5555"/>
    </w:rPr>
  </w:style>
  <w:style w:type="character" w:customStyle="1" w:styleId="AlertTok">
    <w:name w:val="AlertTok"/>
    <w:basedOn w:val="VerbatimChar"/>
    <w:rPr>
      <w:b/>
      <w:color w:val="ff5555"/>
    </w:rPr>
  </w:style>
  <w:style w:type="character" w:customStyle="1" w:styleId="ErrorTok">
    <w:name w:val="ErrorTok"/>
    <w:basedOn w:val="VerbatimChar"/>
    <w:rPr>
      <w:color w:val="ff5555"/>
      <w:u/>
    </w:rPr>
  </w:style>
  <w:style w:type="character" w:customStyle="1" w:styleId="NormalTok">
    <w:name w:val="NormalTok"/>
    <w:basedOn w:val="VerbatimChar"/>
    <w:rPr>
      <w:color w:val="24292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hyperlink" Id="rId10" Target="../../adapter-specs/palo-alto/palo-alto.html" TargetMode="External" /><Relationship Type="http://schemas.openxmlformats.org/officeDocument/2006/relationships/hyperlink" Id="rId9" Target="../../modernization-specs/sdwan/sdwan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10" Target="../../adapter-specs/palo-alto/palo-alto.html" TargetMode="External" /><Relationship Type="http://schemas.openxmlformats.org/officeDocument/2006/relationships/hyperlink" Id="rId9" Target="../../modernization-specs/sdwan/sdwan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G. Network Transformation</dc:title>
  <dc:creator/>
  <cp:keywords/>
  <dcterms:created xsi:type="dcterms:W3CDTF">2026-05-06T19:45:08Z</dcterms:created>
  <dcterms:modified xsi:type="dcterms:W3CDTF">2026-05-06T19:45:08Z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pirational">
    <vt:lpwstr>True</vt:lpwstr>
  </property>
  <property fmtid="{D5CDD505-2E9C-101B-9397-08002B2CF9AE}" pid="3" name="biblio-config">
    <vt:lpwstr>True</vt:lpwstr>
  </property>
  <property fmtid="{D5CDD505-2E9C-101B-9397-08002B2CF9AE}" pid="4" name="date">
    <vt:lpwstr>2026-04-24</vt:lpwstr>
  </property>
  <property fmtid="{D5CDD505-2E9C-101B-9397-08002B2CF9AE}" pid="5" name="doc-type">
    <vt:lpwstr>subcategory-landing</vt:lpwstr>
  </property>
  <property fmtid="{D5CDD505-2E9C-101B-9397-08002B2CF9AE}" pid="6" name="engines">
    <vt:lpwstr/>
  </property>
  <property fmtid="{D5CDD505-2E9C-101B-9397-08002B2CF9AE}" pid="7" name="header-includes">
    <vt:lpwstr/>
  </property>
  <property fmtid="{D5CDD505-2E9C-101B-9397-08002B2CF9AE}" pid="8" name="include-after">
    <vt:lpwstr/>
  </property>
  <property fmtid="{D5CDD505-2E9C-101B-9397-08002B2CF9AE}" pid="9" name="include-before">
    <vt:lpwstr/>
  </property>
  <property fmtid="{D5CDD505-2E9C-101B-9397-08002B2CF9AE}" pid="10" name="labels">
    <vt:lpwstr/>
  </property>
  <property fmtid="{D5CDD505-2E9C-101B-9397-08002B2CF9AE}" pid="11" name="pillar">
    <vt:lpwstr>modernization</vt:lpwstr>
  </property>
  <property fmtid="{D5CDD505-2E9C-101B-9397-08002B2CF9AE}" pid="12" name="status">
    <vt:lpwstr>scaffold</vt:lpwstr>
  </property>
  <property fmtid="{D5CDD505-2E9C-101B-9397-08002B2CF9AE}" pid="13" name="sub-category">
    <vt:lpwstr>G</vt:lpwstr>
  </property>
  <property fmtid="{D5CDD505-2E9C-101B-9397-08002B2CF9AE}" pid="14" name="subtitle">
    <vt:lpwstr>SD-WAN, IPAM, DNS, DHCP, firewall, 802.1X — in the Hybrid-Cloud model</vt:lpwstr>
  </property>
  <property fmtid="{D5CDD505-2E9C-101B-9397-08002B2CF9AE}" pid="15" name="toc-title">
    <vt:lpwstr>Table of contents</vt:lpwstr>
  </property>
</Properties>
</file>