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Program Overview</w:t>
      </w:r>
    </w:p>
    <w:p>
      <w:pPr>
        <w:pStyle w:val="Subtitle"/>
      </w:pPr>
      <w:r>
        <w:t xml:space="preserve">Unified Identity-Addressing-Overlay Architecture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1. What Is UIAO?</w:t>
      </w:r>
    </w:p>
    <w:p>
      <w:pPr>
        <w:pStyle w:val="BodyText"/>
      </w:pPr>
      <w:r>
        <w:t xml:space="preserve">UIAO — the</w:t>
      </w:r>
      <w:r>
        <w:t xml:space="preserve"> </w:t>
      </w:r>
      <w:r>
        <w:rPr>
          <w:b/>
          <w:bCs/>
        </w:rPr>
        <w:t xml:space="preserve">Unified Identity–Addressing–Overlay Architecture</w:t>
      </w:r>
      <w:r>
        <w:t xml:space="preserve"> </w:t>
      </w:r>
      <w:r>
        <w:t xml:space="preserve">—</w:t>
      </w:r>
      <w:r>
        <w:t xml:space="preserve"> </w:t>
      </w:r>
      <w:r>
        <w:t xml:space="preserve">is a modular governance and modernization framework that replaces legacy</w:t>
      </w:r>
      <w:r>
        <w:t xml:space="preserve"> </w:t>
      </w:r>
      <w:r>
        <w:t xml:space="preserve">perimeter-centric, device-centric, and location-centric IT models with</w:t>
      </w:r>
      <w:r>
        <w:t xml:space="preserve"> </w:t>
      </w:r>
      <w:r>
        <w:t xml:space="preserve">an identity-driven, telemetry-informed, boundary-agnostic architecture.</w:t>
      </w:r>
      <w:r>
        <w:t xml:space="preserve"> </w:t>
      </w:r>
      <w:r>
        <w:t xml:space="preserve">It is designed to work across any organization — federal, state,</w:t>
      </w:r>
      <w:r>
        <w:t xml:space="preserve"> </w:t>
      </w:r>
      <w:r>
        <w:t xml:space="preserve">local, commercial, or nonprofit — that needs deterministic control</w:t>
      </w:r>
      <w:r>
        <w:t xml:space="preserve"> </w:t>
      </w:r>
      <w:r>
        <w:t xml:space="preserve">over identity, addressing, policy enforcement, and governance. UIAO</w:t>
      </w:r>
      <w:r>
        <w:t xml:space="preserve"> </w:t>
      </w:r>
      <w:r>
        <w:t xml:space="preserve">provides a structured architectural pattern and governance operating</w:t>
      </w:r>
      <w:r>
        <w:t xml:space="preserve"> </w:t>
      </w:r>
      <w:r>
        <w:t xml:space="preserve">system that sits above existing infrastructure, delivering a single,</w:t>
      </w:r>
      <w:r>
        <w:t xml:space="preserve"> </w:t>
      </w:r>
      <w:r>
        <w:t xml:space="preserve">coherent control plane for modernization across all operational domains.</w:t>
      </w:r>
    </w:p>
    <w:p>
      <w:pPr>
        <w:pStyle w:val="BodyText"/>
      </w:pPr>
      <w:r>
        <w:t xml:space="preserve">UIAO is not a product. It is not a vendor platform. It is not a point</w:t>
      </w:r>
      <w:r>
        <w:t xml:space="preserve"> </w:t>
      </w:r>
      <w:r>
        <w:t xml:space="preserve">solution. It is a composable architectural pattern — a governance</w:t>
      </w:r>
      <w:r>
        <w:t xml:space="preserve"> </w:t>
      </w:r>
      <w:r>
        <w:t xml:space="preserve">operating system that integrates identity, addressing, network overlay,</w:t>
      </w:r>
      <w:r>
        <w:t xml:space="preserve"> </w:t>
      </w:r>
      <w:r>
        <w:t xml:space="preserve">telemetry, and compliance into a unified, deterministic framework.</w:t>
      </w:r>
      <w:r>
        <w:t xml:space="preserve"> </w:t>
      </w:r>
      <w:r>
        <w:t xml:space="preserve">Organizations adopt UIAO to bring coherence to modernization efforts</w:t>
      </w:r>
      <w:r>
        <w:t xml:space="preserve"> </w:t>
      </w:r>
      <w:r>
        <w:t xml:space="preserve">that would otherwise fragment across tools, vendors, and compliance</w:t>
      </w:r>
      <w:r>
        <w:t xml:space="preserve"> </w:t>
      </w:r>
      <w:r>
        <w:t xml:space="preserve">boundaries.</w:t>
      </w:r>
    </w:p>
    <w:p>
      <w:pPr>
        <w:pStyle w:val="BodyText"/>
      </w:pPr>
      <w:r>
        <w:t xml:space="preserve">UIAO operates in Commercial Cloud as governed by FedRAMP. GCC-Moderate</w:t>
      </w:r>
      <w:r>
        <w:t xml:space="preserve"> </w:t>
      </w:r>
      <w:r>
        <w:t xml:space="preserve">applies to Microsoft 365 SaaS services only and does not include Azure</w:t>
      </w:r>
      <w:r>
        <w:t xml:space="preserve"> </w:t>
      </w:r>
      <w:r>
        <w:t xml:space="preserve">services. Azure services consumed by the architecture operate under</w:t>
      </w:r>
      <w:r>
        <w:t xml:space="preserve"> </w:t>
      </w:r>
      <w:r>
        <w:t xml:space="preserve">commercial FedRAMP authorization boundaries appropriate to their</w:t>
      </w:r>
      <w:r>
        <w:t xml:space="preserve"> </w:t>
      </w:r>
      <w:r>
        <w:t xml:space="preserve">deployment context.</w:t>
      </w:r>
    </w:p>
    <w:p>
      <w:pPr>
        <w:pStyle w:val="BodyText"/>
      </w:pPr>
      <w:r>
        <w:t xml:space="preserve">2. Purpose of This Document</w:t>
      </w:r>
    </w:p>
    <w:p>
      <w:pPr>
        <w:pStyle w:val="BodyText"/>
      </w:pPr>
      <w:r>
        <w:t xml:space="preserve">This Program Overview introduces UIAO at the conceptual level. It is</w:t>
      </w:r>
      <w:r>
        <w:t xml:space="preserve"> </w:t>
      </w:r>
      <w:r>
        <w:t xml:space="preserve">intended for: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Executive stakeholders</w:t>
      </w:r>
      <w:r>
        <w:t xml:space="preserve"> </w:t>
      </w:r>
      <w:r>
        <w:t xml:space="preserve">evaluating modernization approaches and</w:t>
      </w:r>
      <w:r>
        <w:t xml:space="preserve"> </w:t>
      </w:r>
      <w:r>
        <w:t xml:space="preserve">seeking a coherent architectural strategy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Architects and engineers</w:t>
      </w:r>
      <w:r>
        <w:t xml:space="preserve"> </w:t>
      </w:r>
      <w:r>
        <w:t xml:space="preserve">onboarding to the UIAO framework and</w:t>
      </w:r>
      <w:r>
        <w:t xml:space="preserve"> </w:t>
      </w:r>
      <w:r>
        <w:t xml:space="preserve">preparing for implementation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Compliance and governance teams</w:t>
      </w:r>
      <w:r>
        <w:t xml:space="preserve"> </w:t>
      </w:r>
      <w:r>
        <w:t xml:space="preserve">mapping controls to operational</w:t>
      </w:r>
      <w:r>
        <w:t xml:space="preserve"> </w:t>
      </w:r>
      <w:r>
        <w:t xml:space="preserve">reality and understanding how UIAO enforces policy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Open-source contributors and community reviewers</w:t>
      </w:r>
      <w:r>
        <w:t xml:space="preserve"> </w:t>
      </w:r>
      <w:r>
        <w:t xml:space="preserve">assessing the</w:t>
      </w:r>
      <w:r>
        <w:t xml:space="preserve"> </w:t>
      </w:r>
      <w:r>
        <w:t xml:space="preserve">framework for adoption, extension, or contribution</w:t>
      </w:r>
    </w:p>
    <w:p>
      <w:pPr>
        <w:pStyle w:val="FirstParagraph"/>
      </w:pPr>
      <w:r>
        <w:t xml:space="preserve">This document does not replace the full Unified Architecture</w:t>
      </w:r>
      <w:r>
        <w:t xml:space="preserve"> </w:t>
      </w:r>
      <w:r>
        <w:t xml:space="preserve">Specification, Control Plane Architecture, or Modernization Timeline. It</w:t>
      </w:r>
      <w:r>
        <w:t xml:space="preserve"> </w:t>
      </w:r>
      <w:r>
        <w:t xml:space="preserve">provides the narrative foundation that connects them — establishing</w:t>
      </w:r>
      <w:r>
        <w:t xml:space="preserve"> </w:t>
      </w:r>
      <w:r>
        <w:t xml:space="preserve">the vocabulary, rationale, and conceptual model that all subsequent UIAO</w:t>
      </w:r>
      <w:r>
        <w:t xml:space="preserve"> </w:t>
      </w:r>
      <w:r>
        <w:t xml:space="preserve">documents build upon.</w:t>
      </w:r>
    </w:p>
    <w:p>
      <w:pPr>
        <w:pStyle w:val="BodyText"/>
      </w:pPr>
      <w:r>
        <w:t xml:space="preserve">3. The Problem UIAO Solves</w:t>
      </w:r>
    </w:p>
    <w:p>
      <w:pPr>
        <w:pStyle w:val="BodyText"/>
      </w:pPr>
      <w:r>
        <w:t xml:space="preserve">Legacy IT environments are frozen in perimeter-centric, device-centric</w:t>
      </w:r>
      <w:r>
        <w:t xml:space="preserve"> </w:t>
      </w:r>
      <w:r>
        <w:t xml:space="preserve">models where identity is an afterthought, addressing is manual, policy</w:t>
      </w:r>
      <w:r>
        <w:t xml:space="preserve"> </w:t>
      </w:r>
      <w:r>
        <w:t xml:space="preserve">is siloed across organizational boundaries, and governance is conducted</w:t>
      </w:r>
      <w:r>
        <w:t xml:space="preserve"> </w:t>
      </w:r>
      <w:r>
        <w:t xml:space="preserve">through email chains, ticketing systems, and periodic manual reviews.</w:t>
      </w:r>
      <w:r>
        <w:t xml:space="preserve"> </w:t>
      </w:r>
      <w:r>
        <w:t xml:space="preserve">These environments were designed for a world where the network perimeter</w:t>
      </w:r>
      <w:r>
        <w:t xml:space="preserve"> </w:t>
      </w:r>
      <w:r>
        <w:t xml:space="preserve">was the security boundary, devices were stationary, and applications</w:t>
      </w:r>
      <w:r>
        <w:t xml:space="preserve"> </w:t>
      </w:r>
      <w:r>
        <w:t xml:space="preserve">lived in on-premises data centers. That world no longer exists — but</w:t>
      </w:r>
      <w:r>
        <w:t xml:space="preserve"> </w:t>
      </w:r>
      <w:r>
        <w:t xml:space="preserve">the architectures built for it persist.</w:t>
      </w:r>
    </w:p>
    <w:p>
      <w:pPr>
        <w:pStyle w:val="BodyText"/>
      </w:pPr>
      <w:r>
        <w:t xml:space="preserve">Organizations recognize the need for modernization but consistently hit</w:t>
      </w:r>
      <w:r>
        <w:t xml:space="preserve"> </w:t>
      </w:r>
      <w:r>
        <w:t xml:space="preserve">structural walls: fragmented tooling that creates integration gaps,</w:t>
      </w:r>
      <w:r>
        <w:t xml:space="preserve"> </w:t>
      </w:r>
      <w:r>
        <w:t xml:space="preserve">vendor lock-in that constrains architectural choices, compliance drift</w:t>
      </w:r>
      <w:r>
        <w:t xml:space="preserve"> </w:t>
      </w:r>
      <w:r>
        <w:t xml:space="preserve">that widens the gap between documented policy and operational reality,</w:t>
      </w:r>
      <w:r>
        <w:t xml:space="preserve"> </w:t>
      </w:r>
      <w:r>
        <w:t xml:space="preserve">and the absence of a single source of truth for what the environment</w:t>
      </w:r>
      <w:r>
        <w:t xml:space="preserve"> </w:t>
      </w:r>
      <w:r>
        <w:t xml:space="preserve">actually looks like versus what it should look like. Modernization</w:t>
      </w:r>
      <w:r>
        <w:t xml:space="preserve"> </w:t>
      </w:r>
      <w:r>
        <w:t xml:space="preserve">initiatives launch with ambition but stall when they encounter the</w:t>
      </w:r>
      <w:r>
        <w:t xml:space="preserve"> </w:t>
      </w:r>
      <w:r>
        <w:t xml:space="preserve">accumulated complexity of decades of ad-hoc decisions.</w:t>
      </w:r>
    </w:p>
    <w:p>
      <w:pPr>
        <w:pStyle w:val="BodyText"/>
      </w:pPr>
      <w:r>
        <w:t xml:space="preserve">The result is</w:t>
      </w:r>
      <w:r>
        <w:t xml:space="preserve"> </w:t>
      </w:r>
      <w:r>
        <w:rPr>
          <w:b/>
          <w:bCs/>
        </w:rPr>
        <w:t xml:space="preserve">governance collapse</w:t>
      </w:r>
      <w:r>
        <w:t xml:space="preserve"> </w:t>
      </w:r>
      <w:r>
        <w:t xml:space="preserve">— a condition where the gap</w:t>
      </w:r>
      <w:r>
        <w:t xml:space="preserve"> </w:t>
      </w:r>
      <w:r>
        <w:t xml:space="preserve">between documented policy and operational reality widens until audits</w:t>
      </w:r>
      <w:r>
        <w:t xml:space="preserve"> </w:t>
      </w:r>
      <w:r>
        <w:t xml:space="preserve">become forensic exercises, incidents reveal systemic blind spots, and</w:t>
      </w:r>
      <w:r>
        <w:t xml:space="preserve"> </w:t>
      </w:r>
      <w:r>
        <w:t xml:space="preserve">compliance becomes a retroactive paperwork exercise rather than a</w:t>
      </w:r>
      <w:r>
        <w:t xml:space="preserve"> </w:t>
      </w:r>
      <w:r>
        <w:t xml:space="preserve">continuous operational discipline. UIAO exists to close this gap —</w:t>
      </w:r>
      <w:r>
        <w:t xml:space="preserve"> </w:t>
      </w:r>
      <w:r>
        <w:t xml:space="preserve">permanently, deterministically, and at architectural scale.</w:t>
      </w:r>
    </w:p>
    <w:p>
      <w:pPr>
        <w:pStyle w:val="BodyText"/>
      </w:pPr>
      <w:r>
        <w:t xml:space="preserve">Frozen State vs. Required State</w:t>
      </w:r>
    </w:p>
    <w:tbl>
      <w:tblPr>
        <w:tblStyle w:val="Table"/>
        <w:tblW w:type="pct" w:w="4236"/>
        <w:tblLayout w:type="fixed"/>
        <w:tblLook w:firstRow="1" w:lastRow="0" w:firstColumn="0" w:lastColumn="0" w:noHBand="0" w:noVBand="0" w:val="0020"/>
      </w:tblPr>
      <w:tblGrid>
        <w:gridCol w:w="1870"/>
        <w:gridCol w:w="2420"/>
        <w:gridCol w:w="24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Domain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Frozen State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Required State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Network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L3/L4 firewalls,</w:t>
            </w:r>
            <w:r>
              <w:t xml:space="preserve"> </w:t>
            </w:r>
            <w:r>
              <w:t xml:space="preserve">perimeter trust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Identity-aware</w:t>
            </w:r>
            <w:r>
              <w:t xml:space="preserve"> </w:t>
            </w:r>
            <w:r>
              <w:t xml:space="preserve">segmentation, Zero</w:t>
            </w:r>
            <w:r>
              <w:t xml:space="preserve"> </w:t>
            </w:r>
            <w:r>
              <w:t xml:space="preserve">Trust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Mixed tooling,</w:t>
            </w:r>
            <w:r>
              <w:t xml:space="preserve"> </w:t>
            </w:r>
            <w:r>
              <w:t xml:space="preserve">inconsistent posture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Unified posture</w:t>
            </w:r>
            <w:r>
              <w:t xml:space="preserve"> </w:t>
            </w:r>
            <w:r>
              <w:t xml:space="preserve">signal, continuous</w:t>
            </w:r>
            <w:r>
              <w:t xml:space="preserve"> </w:t>
            </w:r>
            <w:r>
              <w:t xml:space="preserve">evaluation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Application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Monolithic apps,</w:t>
            </w:r>
            <w:r>
              <w:t xml:space="preserve"> </w:t>
            </w:r>
            <w:r>
              <w:t xml:space="preserve">local 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Workload identity,</w:t>
            </w:r>
            <w:r>
              <w:t xml:space="preserve"> </w:t>
            </w:r>
            <w:r>
              <w:t xml:space="preserve">cloud-native auth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Siloed logs, no</w:t>
            </w:r>
            <w:r>
              <w:t xml:space="preserve"> </w:t>
            </w:r>
            <w:r>
              <w:t xml:space="preserve">correlation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Conversation-level</w:t>
            </w:r>
            <w:r>
              <w:t xml:space="preserve"> </w:t>
            </w:r>
            <w:r>
              <w:t xml:space="preserve">correlation,</w:t>
            </w:r>
            <w:r>
              <w:t xml:space="preserve"> </w:t>
            </w:r>
            <w:r>
              <w:t xml:space="preserve">real-time signals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Email/ticket-based,</w:t>
            </w:r>
            <w:r>
              <w:t xml:space="preserve"> </w:t>
            </w:r>
            <w:r>
              <w:t xml:space="preserve">manual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  <w:r>
              <w:t xml:space="preserve"> </w:t>
            </w:r>
            <w:r>
              <w:t xml:space="preserve">enforcement, drift</w:t>
            </w:r>
            <w:r>
              <w:t xml:space="preserve"> </w:t>
            </w:r>
            <w:r>
              <w:t xml:space="preserve">detection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  <w:r>
              <w:t xml:space="preserve"> </w:t>
            </w:r>
            <w:r>
              <w:t xml:space="preserve">classification,</w:t>
            </w:r>
            <w:r>
              <w:t xml:space="preserve"> </w:t>
            </w:r>
            <w:r>
              <w:t xml:space="preserve">static labels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Data-aware routing,</w:t>
            </w:r>
            <w:r>
              <w:t xml:space="preserve"> </w:t>
            </w:r>
            <w:r>
              <w:t xml:space="preserve">dynamic policy</w:t>
            </w:r>
          </w:p>
        </w:tc>
      </w:tr>
    </w:tbl>
    <w:p>
      <w:pPr>
        <w:pStyle w:val="BodyText"/>
      </w:pPr>
      <w:r>
        <w:t xml:space="preserve">4. UIAO Components</w:t>
      </w:r>
    </w:p>
    <w:p>
      <w:pPr>
        <w:pStyle w:val="BodyText"/>
      </w:pPr>
      <w:r>
        <w:t xml:space="preserve">UIAO is composed of five core components, each addressing a foundational</w:t>
      </w:r>
      <w:r>
        <w:t xml:space="preserve"> </w:t>
      </w:r>
      <w:r>
        <w:t xml:space="preserve">requirement of modern IT governance. These components are modular —</w:t>
      </w:r>
      <w:r>
        <w:t xml:space="preserve"> </w:t>
      </w:r>
      <w:r>
        <w:t xml:space="preserve">each delivers value independently — but they are designed to operate</w:t>
      </w:r>
      <w:r>
        <w:t xml:space="preserve"> </w:t>
      </w:r>
      <w:r>
        <w:t xml:space="preserve">as an integrated system. Together, they provide the architectural</w:t>
      </w:r>
      <w:r>
        <w:t xml:space="preserve"> </w:t>
      </w:r>
      <w:r>
        <w:t xml:space="preserve">substrate for deterministic governance across identity, addressing,</w:t>
      </w:r>
      <w:r>
        <w:t xml:space="preserve"> </w:t>
      </w:r>
      <w:r>
        <w:t xml:space="preserve">device management, policy enforcement, and operational compliance.</w:t>
      </w:r>
    </w:p>
    <w:p>
      <w:pPr>
        <w:pStyle w:val="BodyText"/>
      </w:pPr>
      <w:r>
        <w:t xml:space="preserve">4.1 OrgPath</w:t>
      </w:r>
    </w:p>
    <w:p>
      <w:pPr>
        <w:pStyle w:val="BodyText"/>
      </w:pPr>
      <w:r>
        <w:t xml:space="preserve">OrgPath is UIAO's deterministic organizational addressing system. It</w:t>
      </w:r>
      <w:r>
        <w:t xml:space="preserve"> </w:t>
      </w:r>
      <w:r>
        <w:t xml:space="preserve">provides a structured, hierarchical namespace that maps every identity,</w:t>
      </w:r>
      <w:r>
        <w:t xml:space="preserve"> </w:t>
      </w:r>
      <w:r>
        <w:t xml:space="preserve">device, workload, and policy to a canonical location within the</w:t>
      </w:r>
      <w:r>
        <w:t xml:space="preserve"> </w:t>
      </w:r>
      <w:r>
        <w:t xml:space="preserve">organization. OrgPath replaces ad-hoc naming conventions, flat OU</w:t>
      </w:r>
      <w:r>
        <w:t xml:space="preserve"> </w:t>
      </w:r>
      <w:r>
        <w:t xml:space="preserve">structures, and ambiguous group memberships with a machine-readable,</w:t>
      </w:r>
      <w:r>
        <w:t xml:space="preserve"> </w:t>
      </w:r>
      <w:r>
        <w:t xml:space="preserve">governance-enforceable path. Every object in UIAO has an OrgPath. Every</w:t>
      </w:r>
      <w:r>
        <w:t xml:space="preserve"> </w:t>
      </w:r>
      <w:r>
        <w:t xml:space="preserve">policy references an OrgPath. OrgPath is the root of deterministic</w:t>
      </w:r>
      <w:r>
        <w:t xml:space="preserve"> </w:t>
      </w:r>
      <w:r>
        <w:t xml:space="preserve">governance — the canonical address that anchors all identity</w:t>
      </w:r>
      <w:r>
        <w:t xml:space="preserve"> </w:t>
      </w:r>
      <w:r>
        <w:t xml:space="preserve">resolution, policy evaluation, and compliance reporting.</w:t>
      </w:r>
    </w:p>
    <w:p>
      <w:pPr>
        <w:pStyle w:val="BodyText"/>
      </w:pPr>
      <w:r>
        <w:t xml:space="preserve">4.2 Identity Translation</w:t>
      </w:r>
    </w:p>
    <w:p>
      <w:pPr>
        <w:pStyle w:val="BodyText"/>
      </w:pPr>
      <w:r>
        <w:t xml:space="preserve">Identity Translation is the mechanism by which UIAO bridges legacy</w:t>
      </w:r>
      <w:r>
        <w:t xml:space="preserve"> </w:t>
      </w:r>
      <w:r>
        <w:t xml:space="preserve">identity systems — Active Directory, LDAP, local accounts — to</w:t>
      </w:r>
      <w:r>
        <w:t xml:space="preserve"> </w:t>
      </w:r>
      <w:r>
        <w:t xml:space="preserve">modern identity planes such as Entra ID, certificate-based</w:t>
      </w:r>
      <w:r>
        <w:t xml:space="preserve"> </w:t>
      </w:r>
      <w:r>
        <w:t xml:space="preserve">authentication, and workload identity. UIAO does not rip-and-replace</w:t>
      </w:r>
      <w:r>
        <w:t xml:space="preserve"> </w:t>
      </w:r>
      <w:r>
        <w:t xml:space="preserve">legacy identity — it translates it, preserving continuity while</w:t>
      </w:r>
      <w:r>
        <w:t xml:space="preserve"> </w:t>
      </w:r>
      <w:r>
        <w:t xml:space="preserve">enabling modern assurance levels. Identity Translation ensures that</w:t>
      </w:r>
      <w:r>
        <w:t xml:space="preserve"> </w:t>
      </w:r>
      <w:r>
        <w:t xml:space="preserve">every principal — human, device, service, or workload — can be</w:t>
      </w:r>
      <w:r>
        <w:t xml:space="preserve"> </w:t>
      </w:r>
      <w:r>
        <w:t xml:space="preserve">resolved to a single, authoritative identity with provenance. The</w:t>
      </w:r>
      <w:r>
        <w:t xml:space="preserve"> </w:t>
      </w:r>
      <w:r>
        <w:t xml:space="preserve">translation layer maintains a durable mapping between legacy and modern</w:t>
      </w:r>
      <w:r>
        <w:t xml:space="preserve"> </w:t>
      </w:r>
      <w:r>
        <w:t xml:space="preserve">identities, enabling incremental migration without operational</w:t>
      </w:r>
      <w:r>
        <w:t xml:space="preserve"> </w:t>
      </w:r>
      <w:r>
        <w:t xml:space="preserve">disruption.</w:t>
      </w:r>
    </w:p>
    <w:p>
      <w:pPr>
        <w:pStyle w:val="BodyText"/>
      </w:pPr>
      <w:r>
        <w:t xml:space="preserve">4.3 Device Identity</w:t>
      </w:r>
    </w:p>
    <w:p>
      <w:pPr>
        <w:pStyle w:val="BodyText"/>
      </w:pPr>
      <w:r>
        <w:t xml:space="preserve">Device Identity in UIAO treats every endpoint as a first-class identity</w:t>
      </w:r>
      <w:r>
        <w:t xml:space="preserve"> </w:t>
      </w:r>
      <w:r>
        <w:t xml:space="preserve">principal. Devices are not merely managed objects — they are</w:t>
      </w:r>
      <w:r>
        <w:t xml:space="preserve"> </w:t>
      </w:r>
      <w:r>
        <w:t xml:space="preserve">participants in the identity plane with their own certificates, posture</w:t>
      </w:r>
      <w:r>
        <w:t xml:space="preserve"> </w:t>
      </w:r>
      <w:r>
        <w:t xml:space="preserve">signals, and OrgPath assignments. Device identity feeds continuous Zero</w:t>
      </w:r>
      <w:r>
        <w:t xml:space="preserve"> </w:t>
      </w:r>
      <w:r>
        <w:t xml:space="preserve">Trust evaluation: a device's compliance state, certificate validity,</w:t>
      </w:r>
      <w:r>
        <w:t xml:space="preserve"> </w:t>
      </w:r>
      <w:r>
        <w:t xml:space="preserve">and telemetry signals are inputs to every policy decision. UIAO requires</w:t>
      </w:r>
      <w:r>
        <w:t xml:space="preserve"> </w:t>
      </w:r>
      <w:r>
        <w:t xml:space="preserve">that no device operates anonymously. Every device must be enrolled,</w:t>
      </w:r>
      <w:r>
        <w:t xml:space="preserve"> </w:t>
      </w:r>
      <w:r>
        <w:t xml:space="preserve">attested, and continuously evaluated as a condition of network and</w:t>
      </w:r>
      <w:r>
        <w:t xml:space="preserve"> </w:t>
      </w:r>
      <w:r>
        <w:t xml:space="preserve">resource access.</w:t>
      </w:r>
    </w:p>
    <w:p>
      <w:pPr>
        <w:pStyle w:val="BodyText"/>
      </w:pPr>
      <w:r>
        <w:t xml:space="preserve">4.4 Policy Overlay</w:t>
      </w:r>
    </w:p>
    <w:p>
      <w:pPr>
        <w:pStyle w:val="BodyText"/>
      </w:pPr>
      <w:r>
        <w:t xml:space="preserve">The Policy Overlay is UIAO's enforcement layer. It sits above the</w:t>
      </w:r>
      <w:r>
        <w:t xml:space="preserve"> </w:t>
      </w:r>
      <w:r>
        <w:t xml:space="preserve">network, identity, and addressing planes and provides continuous,</w:t>
      </w:r>
      <w:r>
        <w:t xml:space="preserve"> </w:t>
      </w:r>
      <w:r>
        <w:t xml:space="preserve">identity-aware, telemetry-informed policy evaluation. The overlay</w:t>
      </w:r>
      <w:r>
        <w:t xml:space="preserve"> </w:t>
      </w:r>
      <w:r>
        <w:t xml:space="preserve">replaces static firewall rules and one-time authentication with dynamic,</w:t>
      </w:r>
      <w:r>
        <w:t xml:space="preserve"> </w:t>
      </w:r>
      <w:r>
        <w:t xml:space="preserve">contextual policy that evaluates continuously. Policy decisions are</w:t>
      </w:r>
      <w:r>
        <w:t xml:space="preserve"> </w:t>
      </w:r>
      <w:r>
        <w:t xml:space="preserve">driven by identity assurance, device posture, telemetry signals, and</w:t>
      </w:r>
      <w:r>
        <w:t xml:space="preserve"> </w:t>
      </w:r>
      <w:r>
        <w:t xml:space="preserve">OrgPath context — not by network location. The Policy Overlay ensures</w:t>
      </w:r>
      <w:r>
        <w:t xml:space="preserve"> </w:t>
      </w:r>
      <w:r>
        <w:t xml:space="preserve">that access decisions are made in real time, based on the full context</w:t>
      </w:r>
      <w:r>
        <w:t xml:space="preserve"> </w:t>
      </w:r>
      <w:r>
        <w:t xml:space="preserve">of the requesting principal, and that those decisions are logged,</w:t>
      </w:r>
      <w:r>
        <w:t xml:space="preserve"> </w:t>
      </w:r>
      <w:r>
        <w:t xml:space="preserve">auditable, and enforceable.</w:t>
      </w:r>
    </w:p>
    <w:p>
      <w:pPr>
        <w:pStyle w:val="BodyText"/>
      </w:pPr>
      <w:r>
        <w:t xml:space="preserve">4.5 Governance OS</w:t>
      </w:r>
    </w:p>
    <w:p>
      <w:pPr>
        <w:pStyle w:val="BodyText"/>
      </w:pPr>
      <w:r>
        <w:t xml:space="preserve">The Governance OS is UIAO's operational brain. It provides automated</w:t>
      </w:r>
      <w:r>
        <w:t xml:space="preserve"> </w:t>
      </w:r>
      <w:r>
        <w:t xml:space="preserve">drift detection, remediation orchestration, SLA enforcement, owner</w:t>
      </w:r>
      <w:r>
        <w:t xml:space="preserve"> </w:t>
      </w:r>
      <w:r>
        <w:t xml:space="preserve">accountability tracking, and machine-readable compliance artifacts. The</w:t>
      </w:r>
      <w:r>
        <w:t xml:space="preserve"> </w:t>
      </w:r>
      <w:r>
        <w:t xml:space="preserve">Governance OS consumes signals from all control planes and produces</w:t>
      </w:r>
      <w:r>
        <w:t xml:space="preserve"> </w:t>
      </w:r>
      <w:r>
        <w:t xml:space="preserve">actionable governance outputs: drift reports, remediation tickets,</w:t>
      </w:r>
      <w:r>
        <w:t xml:space="preserve"> </w:t>
      </w:r>
      <w:r>
        <w:t xml:space="preserve">compliance dashboards, and audit-ready artifacts. It is designed to make</w:t>
      </w:r>
      <w:r>
        <w:t xml:space="preserve"> </w:t>
      </w:r>
      <w:r>
        <w:t xml:space="preserve">governance deterministic, not aspirational — every policy has an</w:t>
      </w:r>
      <w:r>
        <w:t xml:space="preserve"> </w:t>
      </w:r>
      <w:r>
        <w:t xml:space="preserve">owner, every deviation has a remediation path, and every compliance</w:t>
      </w:r>
      <w:r>
        <w:t xml:space="preserve"> </w:t>
      </w:r>
      <w:r>
        <w:t xml:space="preserve">assertion is backed by telemetry evidence.</w:t>
      </w:r>
    </w:p>
    <w:p>
      <w:pPr>
        <w:pStyle w:val="BodyText"/>
      </w:pPr>
      <w:r>
        <w:t xml:space="preserve">The Governance OS includes</w:t>
      </w:r>
      <w:r>
        <w:t xml:space="preserve"> </w:t>
      </w:r>
      <w:r>
        <w:rPr>
          <w:b/>
          <w:bCs/>
        </w:rPr>
        <w:t xml:space="preserve">SCuBA integration</w:t>
      </w:r>
      <w:r>
        <w:t xml:space="preserve"> </w:t>
      </w:r>
      <w:r>
        <w:t xml:space="preserve">— UIAO SCuBA is</w:t>
      </w:r>
      <w:r>
        <w:t xml:space="preserve"> </w:t>
      </w:r>
      <w:r>
        <w:t xml:space="preserve">positioned as the governance orchestration layer above CISA ScubaGear.</w:t>
      </w:r>
      <w:r>
        <w:t xml:space="preserve"> </w:t>
      </w:r>
      <w:r>
        <w:t xml:space="preserve">It consumes ScubaGear JSON/CSV outputs and provides continuous drift</w:t>
      </w:r>
      <w:r>
        <w:t xml:space="preserve"> </w:t>
      </w:r>
      <w:r>
        <w:t xml:space="preserve">detection, canonical desired-state management, remediation orchestration</w:t>
      </w:r>
      <w:r>
        <w:t xml:space="preserve"> </w:t>
      </w:r>
      <w:r>
        <w:t xml:space="preserve">with SLA enforcement, and machine-trackable governance provenance. This</w:t>
      </w:r>
      <w:r>
        <w:t xml:space="preserve"> </w:t>
      </w:r>
      <w:r>
        <w:t xml:space="preserve">integration transforms ScubaGear from a periodic scanning tool into a</w:t>
      </w:r>
      <w:r>
        <w:t xml:space="preserve"> </w:t>
      </w:r>
      <w:r>
        <w:t xml:space="preserve">continuous governance signal within the UIAO control plane.</w:t>
      </w:r>
    </w:p>
    <w:p>
      <w:pPr>
        <w:pStyle w:val="BodyText"/>
      </w:pPr>
      <w:r>
        <w:t xml:space="preserve">5. What UIAO Is — and What It Is Not</w:t>
      </w:r>
    </w:p>
    <w:tbl>
      <w:tblPr>
        <w:tblStyle w:val="Table"/>
        <w:tblW w:type="pct" w:w="2708"/>
        <w:tblLayout w:type="fixed"/>
        <w:tblLook w:firstRow="1" w:lastRow="0" w:firstColumn="0" w:lastColumn="0" w:noHBand="0" w:noVBand="0" w:val="0020"/>
      </w:tblPr>
      <w:tblGrid>
        <w:gridCol w:w="2530"/>
        <w:gridCol w:w="17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Is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UIAO Is Not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 modular</w:t>
            </w:r>
            <w:r>
              <w:t xml:space="preserve"> </w:t>
            </w:r>
            <w:r>
              <w:t xml:space="preserve">architectural</w:t>
            </w:r>
            <w:r>
              <w:t xml:space="preserve"> </w:t>
            </w:r>
            <w:r>
              <w:t xml:space="preserve">framework</w:t>
            </w:r>
          </w:p>
        </w:tc>
        <w:tc>
          <w:tcPr/>
          <w:p>
            <w:pPr>
              <w:pStyle w:val="Compact"/>
            </w:pPr>
            <w:r>
              <w:t xml:space="preserve">A product you</w:t>
            </w:r>
            <w:r>
              <w:t xml:space="preserve"> </w:t>
            </w:r>
            <w:r>
              <w:t xml:space="preserve">purchase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 identity-driven</w:t>
            </w:r>
            <w:r>
              <w:t xml:space="preserve"> </w:t>
            </w:r>
            <w:r>
              <w:t xml:space="preserve">governance operating</w:t>
            </w:r>
            <w:r>
              <w:t xml:space="preserve"> </w:t>
            </w: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A replacement</w:t>
            </w:r>
            <w:r>
              <w:t xml:space="preserve"> </w:t>
            </w:r>
            <w:r>
              <w:t xml:space="preserve">for your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 boundary-agnostic</w:t>
            </w:r>
            <w:r>
              <w:t xml:space="preserve"> </w:t>
            </w:r>
            <w:r>
              <w:t xml:space="preserve">modernization pattern</w:t>
            </w:r>
          </w:p>
        </w:tc>
        <w:tc>
          <w:tcPr/>
          <w:p>
            <w:pPr>
              <w:pStyle w:val="Compact"/>
            </w:pPr>
            <w:r>
              <w:t xml:space="preserve">Tied to any</w:t>
            </w:r>
            <w:r>
              <w:t xml:space="preserve"> </w:t>
            </w:r>
            <w:r>
              <w:t xml:space="preserve">single cloud or</w:t>
            </w:r>
            <w:r>
              <w:t xml:space="preserve"> </w:t>
            </w:r>
            <w:r>
              <w:t xml:space="preserve">vendor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 deterministic</w:t>
            </w:r>
            <w:r>
              <w:t xml:space="preserve"> </w:t>
            </w:r>
            <w:r>
              <w:t xml:space="preserve">control plane system</w:t>
            </w:r>
          </w:p>
        </w:tc>
        <w:tc>
          <w:tcPr/>
          <w:p>
            <w:pPr>
              <w:pStyle w:val="Compact"/>
            </w:pPr>
            <w:r>
              <w:t xml:space="preserve">A monitoring</w:t>
            </w:r>
            <w:r>
              <w:t xml:space="preserve"> </w:t>
            </w:r>
            <w:r>
              <w:t xml:space="preserve">dashboard or</w:t>
            </w:r>
            <w:r>
              <w:t xml:space="preserve"> </w:t>
            </w:r>
            <w:r>
              <w:t xml:space="preserve">SIEM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 compliance-aligned</w:t>
            </w:r>
            <w:r>
              <w:t xml:space="preserve"> </w:t>
            </w:r>
            <w:r>
              <w:t xml:space="preserve">automation substrate</w:t>
            </w:r>
          </w:p>
        </w:tc>
        <w:tc>
          <w:tcPr/>
          <w:p>
            <w:pPr>
              <w:pStyle w:val="Compact"/>
            </w:pPr>
            <w:r>
              <w:t xml:space="preserve">A checkbox</w:t>
            </w:r>
            <w:r>
              <w:t xml:space="preserve"> </w:t>
            </w:r>
            <w:r>
              <w:t xml:space="preserve">compliance tool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Open-source and</w:t>
            </w:r>
            <w:r>
              <w:t xml:space="preserve"> </w:t>
            </w:r>
            <w:r>
              <w:t xml:space="preserve">community-reviewable</w:t>
            </w:r>
          </w:p>
        </w:tc>
        <w:tc>
          <w:tcPr/>
          <w:p>
            <w:pPr>
              <w:pStyle w:val="Compact"/>
            </w:pPr>
            <w:r>
              <w:t xml:space="preserve">Proprietary or</w:t>
            </w:r>
            <w:r>
              <w:t xml:space="preserve"> </w:t>
            </w:r>
            <w:r>
              <w:t xml:space="preserve">closed-source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Designed for</w:t>
            </w:r>
            <w:r>
              <w:t xml:space="preserve"> </w:t>
            </w:r>
            <w:r>
              <w:t xml:space="preserve">incremental adoption</w:t>
            </w:r>
          </w:p>
        </w:tc>
        <w:tc>
          <w:tcPr/>
          <w:p>
            <w:pPr>
              <w:pStyle w:val="Compact"/>
            </w:pPr>
            <w:r>
              <w:t xml:space="preserve">A big-bang</w:t>
            </w:r>
            <w:r>
              <w:t xml:space="preserve"> </w:t>
            </w:r>
            <w:r>
              <w:t xml:space="preserve">migration</w:t>
            </w:r>
            <w:r>
              <w:t xml:space="preserve"> </w:t>
            </w:r>
            <w:r>
              <w:t xml:space="preserve">framework</w:t>
            </w:r>
          </w:p>
        </w:tc>
      </w:tr>
    </w:tbl>
    <w:p>
      <w:pPr>
        <w:pStyle w:val="BodyText"/>
      </w:pPr>
      <w:r>
        <w:t xml:space="preserve">6. The Six Control Planes</w:t>
      </w:r>
    </w:p>
    <w:p>
      <w:pPr>
        <w:pStyle w:val="BodyText"/>
      </w:pPr>
      <w:r>
        <w:t xml:space="preserve">UIAO integrates six control planes into a single, coherent,</w:t>
      </w:r>
      <w:r>
        <w:t xml:space="preserve"> </w:t>
      </w:r>
      <w:r>
        <w:t xml:space="preserve">deterministic system. Each plane is authoritative for its domain, but</w:t>
      </w:r>
      <w:r>
        <w:t xml:space="preserve"> </w:t>
      </w:r>
      <w:r>
        <w:t xml:space="preserve">all planes operate together as a unified architecture. No plane operates</w:t>
      </w:r>
      <w:r>
        <w:t xml:space="preserve"> </w:t>
      </w:r>
      <w:r>
        <w:t xml:space="preserve">in isolation — every policy decision, identity resolution, and</w:t>
      </w:r>
      <w:r>
        <w:t xml:space="preserve"> </w:t>
      </w:r>
      <w:r>
        <w:t xml:space="preserve">governance action draws on signals from multiple planes. The control</w:t>
      </w:r>
      <w:r>
        <w:t xml:space="preserve"> </w:t>
      </w:r>
      <w:r>
        <w:t xml:space="preserve">planes are the structural foundation of UIAO, and their integration is</w:t>
      </w:r>
      <w:r>
        <w:t xml:space="preserve"> </w:t>
      </w:r>
      <w:r>
        <w:t xml:space="preserve">what distinguishes UIAO from conventional point-solution approaches to</w:t>
      </w:r>
      <w:r>
        <w:t xml:space="preserve"> </w:t>
      </w:r>
      <w:r>
        <w:t xml:space="preserve">IT modernization.</w:t>
      </w:r>
    </w:p>
    <w:tbl>
      <w:tblPr>
        <w:tblStyle w:val="Table"/>
        <w:tblW w:type="pct" w:w="2431"/>
        <w:tblLayout w:type="fixed"/>
        <w:tblLook w:firstRow="1" w:lastRow="0" w:firstColumn="0" w:lastColumn="0" w:noHBand="0" w:noVBand="0" w:val="0020"/>
      </w:tblPr>
      <w:tblGrid>
        <w:gridCol w:w="187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Control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Root namespace</w:t>
            </w:r>
            <w:r>
              <w:t xml:space="preserve"> </w:t>
            </w:r>
            <w:r>
              <w:t xml:space="preserve">and assurance</w:t>
            </w:r>
            <w:r>
              <w:t xml:space="preserve"> </w:t>
            </w:r>
            <w:r>
              <w:t xml:space="preserve">engine — every</w:t>
            </w:r>
            <w:r>
              <w:t xml:space="preserve"> </w:t>
            </w:r>
            <w:r>
              <w:t xml:space="preserve">principal</w:t>
            </w:r>
            <w:r>
              <w:t xml:space="preserve"> </w:t>
            </w:r>
            <w:r>
              <w:t xml:space="preserve">resolves here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Routing,</w:t>
            </w:r>
            <w:r>
              <w:t xml:space="preserve"> </w:t>
            </w:r>
            <w:r>
              <w:t xml:space="preserve">segmentation, and</w:t>
            </w:r>
            <w:r>
              <w:t xml:space="preserve"> </w:t>
            </w:r>
            <w:r>
              <w:t xml:space="preserve">overlay transport</w:t>
            </w:r>
            <w:r>
              <w:t xml:space="preserve"> </w:t>
            </w:r>
            <w:r>
              <w:t xml:space="preserve">—</w:t>
            </w:r>
            <w:r>
              <w:t xml:space="preserve"> </w:t>
            </w:r>
            <w:r>
              <w:t xml:space="preserve">identity-aware,</w:t>
            </w:r>
            <w:r>
              <w:t xml:space="preserve"> </w:t>
            </w:r>
            <w:r>
              <w:t xml:space="preserve">not</w:t>
            </w:r>
            <w:r>
              <w:t xml:space="preserve"> </w:t>
            </w:r>
            <w:r>
              <w:t xml:space="preserve">perimeter-based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Deterministic</w:t>
            </w:r>
            <w:r>
              <w:t xml:space="preserve"> </w:t>
            </w:r>
            <w:r>
              <w:t xml:space="preserve">IPAM and DNS/DHCP</w:t>
            </w:r>
            <w:r>
              <w:t xml:space="preserve"> </w:t>
            </w:r>
            <w:r>
              <w:t xml:space="preserve">authority —</w:t>
            </w:r>
            <w:r>
              <w:t xml:space="preserve"> </w:t>
            </w:r>
            <w:r>
              <w:t xml:space="preserve">every address is</w:t>
            </w:r>
            <w:r>
              <w:t xml:space="preserve"> </w:t>
            </w:r>
            <w:r>
              <w:t xml:space="preserve">intentional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 &amp;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signals</w:t>
            </w:r>
            <w:r>
              <w:t xml:space="preserve"> </w:t>
            </w:r>
            <w:r>
              <w:t xml:space="preserve">for routing,</w:t>
            </w:r>
            <w:r>
              <w:t xml:space="preserve"> </w:t>
            </w:r>
            <w:r>
              <w:t xml:space="preserve">security, and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decisions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Security &amp;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Trust</w:t>
            </w:r>
            <w:r>
              <w:t xml:space="preserve"> </w:t>
            </w:r>
            <w:r>
              <w:t xml:space="preserve">enforcement and</w:t>
            </w:r>
            <w:r>
              <w:t xml:space="preserve"> </w:t>
            </w:r>
            <w:r>
              <w:t xml:space="preserve">FedRAMP alignment</w:t>
            </w:r>
            <w:r>
              <w:t xml:space="preserve"> </w:t>
            </w:r>
            <w:r>
              <w:t xml:space="preserve">— continuous,</w:t>
            </w:r>
            <w:r>
              <w:t xml:space="preserve"> </w:t>
            </w:r>
            <w:r>
              <w:t xml:space="preserve">not periodic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Governance, drift</w:t>
            </w:r>
            <w:r>
              <w:t xml:space="preserve"> </w:t>
            </w:r>
            <w:r>
              <w:t xml:space="preserve">detection, CMDB</w:t>
            </w:r>
            <w:r>
              <w:t xml:space="preserve"> </w:t>
            </w:r>
            <w:r>
              <w:t xml:space="preserve">reconciliation,</w:t>
            </w:r>
            <w:r>
              <w:t xml:space="preserve"> </w:t>
            </w:r>
            <w:r>
              <w:t xml:space="preserve">device compliance</w:t>
            </w:r>
          </w:p>
        </w:tc>
      </w:tr>
    </w:tbl>
    <w:p>
      <w:pPr>
        <w:pStyle w:val="BodyText"/>
      </w:pPr>
      <w:r>
        <w:t xml:space="preserve">+:————–:+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0.1 — Six Control Planes Interaction Model" title="" id="10" name="Picture"/>
            <a:graphic>
              <a:graphicData uri="http://schemas.openxmlformats.org/drawingml/2006/picture">
                <pic:pic>
                  <pic:nvPicPr>
                    <pic:cNvPr descr="images/00-01-six-control-planes-interaction-model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0.1 — Six Control Planes Interaction Model</w:t>
      </w:r>
    </w:p>
    <w:p>
      <w:pPr>
        <w:pStyle w:val="BodyText"/>
      </w:pPr>
      <w:r>
        <w:t xml:space="preserve">7. How UIAO Fits Into Modernization</w:t>
      </w:r>
    </w:p>
    <w:p>
      <w:pPr>
        <w:pStyle w:val="BodyText"/>
      </w:pPr>
      <w:r>
        <w:t xml:space="preserve">UIAO is designed for incremental modernization — there is no big-bang.</w:t>
      </w:r>
      <w:r>
        <w:t xml:space="preserve"> </w:t>
      </w:r>
      <w:r>
        <w:t xml:space="preserve">Organizations adopt UIAO in phases, starting with identity translation</w:t>
      </w:r>
      <w:r>
        <w:t xml:space="preserve"> </w:t>
      </w:r>
      <w:r>
        <w:t xml:space="preserve">and OrgPath establishment, then layering on device identity, policy</w:t>
      </w:r>
      <w:r>
        <w:t xml:space="preserve"> </w:t>
      </w:r>
      <w:r>
        <w:t xml:space="preserve">overlay, telemetry integration, and finally the full Governance OS. Each</w:t>
      </w:r>
      <w:r>
        <w:t xml:space="preserve"> </w:t>
      </w:r>
      <w:r>
        <w:t xml:space="preserve">phase delivers standalone value while building toward the complete</w:t>
      </w:r>
      <w:r>
        <w:t xml:space="preserve"> </w:t>
      </w:r>
      <w:r>
        <w:t xml:space="preserve">architecture. An organization that completes only Phase 0 and Phase 1</w:t>
      </w:r>
      <w:r>
        <w:t xml:space="preserve"> </w:t>
      </w:r>
      <w:r>
        <w:t xml:space="preserve">still gains a canonical namespace, a unified identity plane, and a</w:t>
      </w:r>
      <w:r>
        <w:t xml:space="preserve"> </w:t>
      </w:r>
      <w:r>
        <w:t xml:space="preserve">measurable governance baseline — capabilities that most legacy</w:t>
      </w:r>
      <w:r>
        <w:t xml:space="preserve"> </w:t>
      </w:r>
      <w:r>
        <w:t xml:space="preserve">environments lack entirely.</w:t>
      </w:r>
    </w:p>
    <w:p>
      <w:pPr>
        <w:pStyle w:val="BodyText"/>
      </w:pPr>
      <w:r>
        <w:t xml:space="preserve">UIAO aligns with established frameworks: FedRAMP (including 20x Phase</w:t>
      </w:r>
      <w:r>
        <w:t xml:space="preserve"> </w:t>
      </w:r>
      <w:r>
        <w:t xml:space="preserve">2), Zero Trust (per Executive Order 14028 lineage), TIC 3.0, and NIST</w:t>
      </w:r>
      <w:r>
        <w:t xml:space="preserve"> </w:t>
      </w:r>
      <w:r>
        <w:t xml:space="preserve">800-53. UIAO does not invent new compliance requirements — it provides</w:t>
      </w:r>
      <w:r>
        <w:t xml:space="preserve"> </w:t>
      </w:r>
      <w:r>
        <w:t xml:space="preserve">the architectural substrate that makes existing requirements</w:t>
      </w:r>
      <w:r>
        <w:t xml:space="preserve"> </w:t>
      </w:r>
      <w:r>
        <w:t xml:space="preserve">operationally achievable. By embedding compliance into the architecture</w:t>
      </w:r>
      <w:r>
        <w:t xml:space="preserve"> </w:t>
      </w:r>
      <w:r>
        <w:t xml:space="preserve">rather than bolting it on after deployment, UIAO eliminates the chronic</w:t>
      </w:r>
      <w:r>
        <w:t xml:space="preserve"> </w:t>
      </w:r>
      <w:r>
        <w:t xml:space="preserve">gap between documented policy and operational reality that plagues</w:t>
      </w:r>
      <w:r>
        <w:t xml:space="preserve"> </w:t>
      </w:r>
      <w:r>
        <w:t xml:space="preserve">traditional modernization efforts.</w:t>
      </w:r>
    </w:p>
    <w:p>
      <w:pPr>
        <w:pStyle w:val="BodyText"/>
      </w:pPr>
      <w:r>
        <w:t xml:space="preserve">Modernization Phases</w:t>
      </w:r>
    </w:p>
    <w:tbl>
      <w:tblPr>
        <w:tblStyle w:val="Table"/>
        <w:tblW w:type="pct" w:w="3750"/>
        <w:tblLayout w:type="fixed"/>
        <w:tblLook w:firstRow="1" w:lastRow="0" w:firstColumn="0" w:lastColumn="0" w:noHBand="0" w:noVBand="0" w:val="0020"/>
      </w:tblPr>
      <w:tblGrid>
        <w:gridCol w:w="1870"/>
        <w:gridCol w:w="1760"/>
        <w:gridCol w:w="23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Focus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0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 design,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inventory,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baseline</w:t>
            </w:r>
          </w:p>
        </w:tc>
        <w:tc>
          <w:tcPr/>
          <w:p>
            <w:pPr>
              <w:pStyle w:val="Compact"/>
            </w:pPr>
            <w:r>
              <w:t xml:space="preserve">Canonical namespace,</w:t>
            </w:r>
            <w:r>
              <w:t xml:space="preserve"> </w:t>
            </w:r>
            <w:r>
              <w:t xml:space="preserve">identity map,</w:t>
            </w:r>
            <w:r>
              <w:t xml:space="preserve"> </w:t>
            </w:r>
            <w:r>
              <w:t xml:space="preserve">initial drift</w:t>
            </w:r>
            <w:r>
              <w:t xml:space="preserve"> </w:t>
            </w:r>
            <w:r>
              <w:t xml:space="preserve">baseline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1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translation,</w:t>
            </w:r>
            <w:r>
              <w:t xml:space="preserve"> </w:t>
            </w:r>
            <w:r>
              <w:t xml:space="preserve">certificate</w:t>
            </w:r>
            <w:r>
              <w:t xml:space="preserve"> </w:t>
            </w:r>
            <w:r>
              <w:t xml:space="preserve">authority,</w:t>
            </w:r>
            <w:r>
              <w:t xml:space="preserve"> </w:t>
            </w:r>
            <w:r>
              <w:t xml:space="preserve">device</w:t>
            </w:r>
            <w:r>
              <w:t xml:space="preserve"> </w:t>
            </w:r>
            <w:r>
              <w:t xml:space="preserve">enrollment</w:t>
            </w:r>
          </w:p>
        </w:tc>
        <w:tc>
          <w:tcPr/>
          <w:p>
            <w:pPr>
              <w:pStyle w:val="Compact"/>
            </w:pPr>
            <w:r>
              <w:t xml:space="preserve">Unified identity</w:t>
            </w:r>
            <w:r>
              <w:t xml:space="preserve"> </w:t>
            </w:r>
            <w:r>
              <w:t xml:space="preserve">plane, device</w:t>
            </w:r>
            <w:r>
              <w:t xml:space="preserve"> </w:t>
            </w:r>
            <w:r>
              <w:t xml:space="preserve">identity, mTLS</w:t>
            </w:r>
            <w:r>
              <w:t xml:space="preserve"> </w:t>
            </w:r>
            <w:r>
              <w:t xml:space="preserve">foundation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Overlay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overlay</w:t>
            </w:r>
            <w:r>
              <w:t xml:space="preserve"> </w:t>
            </w:r>
            <w:r>
              <w:t xml:space="preserve">deployment,</w:t>
            </w:r>
            <w:r>
              <w:t xml:space="preserve"> </w:t>
            </w:r>
            <w:r>
              <w:t xml:space="preserve">telemetry</w:t>
            </w:r>
            <w:r>
              <w:t xml:space="preserve"> </w:t>
            </w: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Continuous policy</w:t>
            </w:r>
            <w:r>
              <w:t xml:space="preserve"> </w:t>
            </w:r>
            <w:r>
              <w:t xml:space="preserve">evaluation,</w:t>
            </w:r>
            <w:r>
              <w:t xml:space="preserve"> </w:t>
            </w:r>
            <w:r>
              <w:t xml:space="preserve">conversation-level</w:t>
            </w:r>
            <w:r>
              <w:t xml:space="preserve"> </w:t>
            </w:r>
            <w:r>
              <w:t xml:space="preserve">telemetry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OS</w:t>
            </w:r>
            <w:r>
              <w:t xml:space="preserve"> </w:t>
            </w:r>
            <w:r>
              <w:t xml:space="preserve">activation,</w:t>
            </w:r>
            <w:r>
              <w:t xml:space="preserve"> </w:t>
            </w:r>
            <w:r>
              <w:t xml:space="preserve">SCuBA</w:t>
            </w:r>
            <w:r>
              <w:t xml:space="preserve"> </w:t>
            </w:r>
            <w:r>
              <w:t xml:space="preserve">integration,</w:t>
            </w:r>
            <w:r>
              <w:t xml:space="preserve"> </w:t>
            </w:r>
            <w:r>
              <w:t xml:space="preserve">automation</w:t>
            </w:r>
          </w:p>
        </w:tc>
        <w:tc>
          <w:tcPr/>
          <w:p>
            <w:pPr>
              <w:pStyle w:val="Compact"/>
            </w:pPr>
            <w:r>
              <w:t xml:space="preserve">Automated drift</w:t>
            </w:r>
            <w:r>
              <w:t xml:space="preserve"> </w:t>
            </w:r>
            <w:r>
              <w:t xml:space="preserve">detection, SLA</w:t>
            </w:r>
            <w:r>
              <w:t xml:space="preserve"> </w:t>
            </w:r>
            <w:r>
              <w:t xml:space="preserve">enforcement,</w:t>
            </w:r>
            <w:r>
              <w:t xml:space="preserve"> </w:t>
            </w:r>
            <w:r>
              <w:t xml:space="preserve">compliance artifacts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4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Cross-plane</w:t>
            </w:r>
            <w:r>
              <w:t xml:space="preserve"> </w:t>
            </w:r>
            <w:r>
              <w:t xml:space="preserve">optimization,</w:t>
            </w:r>
            <w:r>
              <w:t xml:space="preserve"> </w:t>
            </w:r>
            <w:r>
              <w:t xml:space="preserve">advanced</w:t>
            </w:r>
            <w:r>
              <w:t xml:space="preserve"> </w:t>
            </w:r>
            <w:r>
              <w:t xml:space="preserve">analytics,</w:t>
            </w:r>
            <w:r>
              <w:t xml:space="preserve"> </w:t>
            </w:r>
            <w:r>
              <w:t xml:space="preserve">community</w:t>
            </w:r>
            <w:r>
              <w:t xml:space="preserve"> </w:t>
            </w:r>
            <w:r>
              <w:t xml:space="preserve">contribution</w:t>
            </w:r>
          </w:p>
        </w:tc>
        <w:tc>
          <w:tcPr/>
          <w:p>
            <w:pPr>
              <w:pStyle w:val="Compact"/>
            </w:pPr>
            <w:r>
              <w:t xml:space="preserve">Full deterministic</w:t>
            </w:r>
            <w:r>
              <w:t xml:space="preserve"> </w:t>
            </w:r>
            <w:r>
              <w:t xml:space="preserve">operation,</w:t>
            </w:r>
            <w:r>
              <w:t xml:space="preserve"> </w:t>
            </w:r>
            <w:r>
              <w:t xml:space="preserve">open-source maturity</w:t>
            </w:r>
          </w:p>
        </w:tc>
      </w:tr>
    </w:tbl>
    <w:p>
      <w:pPr>
        <w:pStyle w:val="BodyText"/>
      </w:pPr>
      <w:r>
        <w:t xml:space="preserve">+:—————:+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0.2 — Modernization Phase Progression" title="" id="13" name="Picture"/>
            <a:graphic>
              <a:graphicData uri="http://schemas.openxmlformats.org/drawingml/2006/picture">
                <pic:pic>
                  <pic:nvPicPr>
                    <pic:cNvPr descr="images/00-02-modernization-phase-progression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0.2 — Modernization Phase Progression</w:t>
      </w:r>
    </w:p>
    <w:p>
      <w:pPr>
        <w:pStyle w:val="BodyText"/>
      </w:pPr>
      <w:r>
        <w:t xml:space="preserve">8. Boundary-Agnostic by Design</w:t>
      </w:r>
    </w:p>
    <w:p>
      <w:pPr>
        <w:pStyle w:val="BodyText"/>
      </w:pPr>
      <w:r>
        <w:t xml:space="preserve">UIAO is not built for one environment. The architecture is designed to</w:t>
      </w:r>
      <w:r>
        <w:t xml:space="preserve"> </w:t>
      </w:r>
      <w:r>
        <w:t xml:space="preserve">operate identically whether deployed in federal civilian agencies,</w:t>
      </w:r>
      <w:r>
        <w:t xml:space="preserve"> </w:t>
      </w:r>
      <w:r>
        <w:t xml:space="preserve">defense-adjacent organizations, state and local governments, commercial</w:t>
      </w:r>
      <w:r>
        <w:t xml:space="preserve"> </w:t>
      </w:r>
      <w:r>
        <w:t xml:space="preserve">enterprises, or nonprofits. The control planes, OrgPath namespace,</w:t>
      </w:r>
      <w:r>
        <w:t xml:space="preserve"> </w:t>
      </w:r>
      <w:r>
        <w:t xml:space="preserve">identity translation mechanisms, and Governance OS are all</w:t>
      </w:r>
      <w:r>
        <w:t xml:space="preserve"> </w:t>
      </w:r>
      <w:r>
        <w:t xml:space="preserve">boundary-agnostic — they adapt to the compliance and operational</w:t>
      </w:r>
      <w:r>
        <w:t xml:space="preserve"> </w:t>
      </w:r>
      <w:r>
        <w:t xml:space="preserve">requirements of any environment without architectural modification. An</w:t>
      </w:r>
      <w:r>
        <w:t xml:space="preserve"> </w:t>
      </w:r>
      <w:r>
        <w:t xml:space="preserve">organization subject to FedRAMP, CMMC, SOC 2, HIPAA, or no formal</w:t>
      </w:r>
      <w:r>
        <w:t xml:space="preserve"> </w:t>
      </w:r>
      <w:r>
        <w:t xml:space="preserve">compliance framework at all can adopt UIAO using the same core</w:t>
      </w:r>
      <w:r>
        <w:t xml:space="preserve"> </w:t>
      </w:r>
      <w:r>
        <w:t xml:space="preserve">architecture, adjusting only the policy parameters and compliance</w:t>
      </w:r>
      <w:r>
        <w:t xml:space="preserve"> </w:t>
      </w:r>
      <w:r>
        <w:t xml:space="preserve">mappings to match its regulatory context.</w:t>
      </w:r>
    </w:p>
    <w:p>
      <w:pPr>
        <w:pStyle w:val="BodyText"/>
      </w:pPr>
      <w:r>
        <w:t xml:space="preserve">While the initial UIAO implementation targets GCC-Moderate (Microsoft</w:t>
      </w:r>
      <w:r>
        <w:t xml:space="preserve"> </w:t>
      </w:r>
      <w:r>
        <w:t xml:space="preserve">365 SaaS), the architectural patterns are portable. An organization</w:t>
      </w:r>
      <w:r>
        <w:t xml:space="preserve"> </w:t>
      </w:r>
      <w:r>
        <w:t xml:space="preserve">running commercial Microsoft 365, AWS, Google Cloud, or hybrid</w:t>
      </w:r>
      <w:r>
        <w:t xml:space="preserve"> </w:t>
      </w:r>
      <w:r>
        <w:t xml:space="preserve">on-premises infrastructure can adopt UIAO's framework and governance</w:t>
      </w:r>
      <w:r>
        <w:t xml:space="preserve"> </w:t>
      </w:r>
      <w:r>
        <w:t xml:space="preserve">model without architectural modification. The boundary is a deployment</w:t>
      </w:r>
      <w:r>
        <w:t xml:space="preserve"> </w:t>
      </w:r>
      <w:r>
        <w:t xml:space="preserve">parameter, not an architectural constraint. This portability is by</w:t>
      </w:r>
      <w:r>
        <w:t xml:space="preserve"> </w:t>
      </w:r>
      <w:r>
        <w:t xml:space="preserve">design — UIAO was built to prevent the vendor lock-in and boundary</w:t>
      </w:r>
      <w:r>
        <w:t xml:space="preserve"> </w:t>
      </w:r>
      <w:r>
        <w:t xml:space="preserve">rigidity that plague legacy modernization approaches.</w:t>
      </w:r>
    </w:p>
    <w:p>
      <w:pPr>
        <w:pStyle w:val="BodyText"/>
      </w:pPr>
      <w:r>
        <w:t xml:space="preserve">9. Getting Started</w:t>
      </w:r>
    </w:p>
    <w:p>
      <w:pPr>
        <w:pStyle w:val="BodyText"/>
      </w:pPr>
      <w:r>
        <w:t xml:space="preserve">The following resources provide the next level of detail for</w:t>
      </w:r>
      <w:r>
        <w:t xml:space="preserve"> </w:t>
      </w:r>
      <w:r>
        <w:t xml:space="preserve">organizations and individuals ready to engage with UIAO: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UIAO-Core Repository on GitHub</w:t>
      </w:r>
      <w:r>
        <w:t xml:space="preserve"> </w:t>
      </w:r>
      <w:r>
        <w:t xml:space="preserve">— The canonical source for</w:t>
      </w:r>
      <w:r>
        <w:t xml:space="preserve"> </w:t>
      </w:r>
      <w:r>
        <w:t xml:space="preserve">governance artifacts, configuration templates, OrgPath schemas, and</w:t>
      </w:r>
      <w:r>
        <w:t xml:space="preserve"> </w:t>
      </w:r>
      <w:r>
        <w:t xml:space="preserve">community-contributed modules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Unified Architecture Specification</w:t>
      </w:r>
      <w:r>
        <w:t xml:space="preserve"> </w:t>
      </w:r>
      <w:r>
        <w:t xml:space="preserve">— The full technical</w:t>
      </w:r>
      <w:r>
        <w:t xml:space="preserve"> </w:t>
      </w:r>
      <w:r>
        <w:t xml:space="preserve">specification covering all six control planes, component interactions,</w:t>
      </w:r>
      <w:r>
        <w:t xml:space="preserve"> </w:t>
      </w:r>
      <w:r>
        <w:t xml:space="preserve">and implementation requirements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Modernization Timeline</w:t>
      </w:r>
      <w:r>
        <w:t xml:space="preserve"> </w:t>
      </w:r>
      <w:r>
        <w:t xml:space="preserve">— Phased implementation guidance with</w:t>
      </w:r>
      <w:r>
        <w:t xml:space="preserve"> </w:t>
      </w:r>
      <w:r>
        <w:t xml:space="preserve">milestones, dependencies, and decision gates for each stage of UIAO</w:t>
      </w:r>
      <w:r>
        <w:t xml:space="preserve"> </w:t>
      </w:r>
      <w:r>
        <w:t xml:space="preserve">adoption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UIAO Document Compiler</w:t>
      </w:r>
      <w:r>
        <w:t xml:space="preserve"> </w:t>
      </w:r>
      <w:r>
        <w:t xml:space="preserve">— A toolchain for generating UIAO</w:t>
      </w:r>
      <w:r>
        <w:t xml:space="preserve"> </w:t>
      </w:r>
      <w:r>
        <w:t xml:space="preserve">documentation in multiple formats (Markdown, DOCX, PDF, HTML) from</w:t>
      </w:r>
      <w:r>
        <w:t xml:space="preserve"> </w:t>
      </w:r>
      <w:r>
        <w:t xml:space="preserve">canonical source files</w:t>
      </w:r>
    </w:p>
    <w:p>
      <w:pPr>
        <w:pStyle w:val="FirstParagraph"/>
      </w:pPr>
      <w:r>
        <w:t xml:space="preserve">10. Document Notice</w:t>
      </w:r>
    </w:p>
    <w:p>
      <w:pPr>
        <w:pStyle w:val="BodyText"/>
      </w:pPr>
      <w:r>
        <w:t xml:space="preserve">This document is Revision 0.x — a pre-release draft published for</w:t>
      </w:r>
      <w:r>
        <w:t xml:space="preserve"> </w:t>
      </w:r>
      <w:r>
        <w:t xml:space="preserve">community review and feedback. It does not carry any classification</w:t>
      </w:r>
      <w:r>
        <w:t xml:space="preserve"> </w:t>
      </w:r>
      <w:r>
        <w:t xml:space="preserve">markings. Content may evolve as the UIAO framework matures.</w:t>
      </w:r>
      <w:r>
        <w:t xml:space="preserve"> </w:t>
      </w:r>
      <w:r>
        <w:t xml:space="preserve">Contributions, issues, and pull requests are welcome via the UIAO-Core</w:t>
      </w:r>
      <w:r>
        <w:t xml:space="preserve"> </w:t>
      </w:r>
      <w:r>
        <w:t xml:space="preserve">GitHub repository.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Overview</dc:title>
  <dc:creator/>
  <cp:keywords/>
  <dcterms:created xsi:type="dcterms:W3CDTF">2026-05-06T23:14:36Z</dcterms:created>
  <dcterms:modified xsi:type="dcterms:W3CDTF">2026-05-06T23:14:36Z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Executive stakeholders · architects · compliance teams · open-source contributors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inbox/Modernization/Consolidated/UIAO_010_Program_Overview_v1.0.docx</vt:lpwstr>
  </property>
  <property fmtid="{D5CDD505-2E9C-101B-9397-08002B2CF9AE}" pid="6" name="chapter">
    <vt:lpwstr>0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Unified Identity-Addressing-Overlay Architecture</vt:lpwstr>
  </property>
  <property fmtid="{D5CDD505-2E9C-101B-9397-08002B2CF9AE}" pid="16" name="toc-title">
    <vt:lpwstr>Table of contents</vt:lpwstr>
  </property>
</Properties>
</file>