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39.png" ContentType="image/png"/>
  <Override PartName="/word/media/rId69.png" ContentType="image/png"/>
  <Override PartName="/word/media/rId80.png" ContentType="image/png"/>
  <Override PartName="/word/media/rId84.png" ContentType="image/png"/>
  <Override PartName="/word/media/rId8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1 — Modernization Mechanics</w:t>
      </w:r>
    </w:p>
    <w:p>
      <w:pPr>
        <w:pStyle w:val="Subtitle"/>
      </w:pPr>
      <w:r>
        <w:t xml:space="preserve">Identity, device, policy, and compliance modernization for GCC-Moderate M365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section-1-purpose-and-scope"/>
    <w:p>
      <w:pPr>
        <w:pStyle w:val="Heading1"/>
      </w:pPr>
      <w:r>
        <w:t xml:space="preserve">Section 1: Purpose and Scope</w:t>
      </w:r>
    </w:p>
    <w:p>
      <w:pPr>
        <w:pStyle w:val="FirstParagraph"/>
      </w:pPr>
      <w:r>
        <w:t xml:space="preserve">This document defines the</w:t>
      </w:r>
      <w:r>
        <w:t xml:space="preserve"> </w:t>
      </w:r>
      <w:r>
        <w:rPr>
          <w:b/>
          <w:bCs/>
        </w:rPr>
        <w:t xml:space="preserve">modernization mechanics</w:t>
      </w:r>
      <w:r>
        <w:t xml:space="preserve"> </w:t>
      </w:r>
      <w:r>
        <w:t xml:space="preserve">for Phase 1 of the</w:t>
      </w:r>
      <w:r>
        <w:t xml:space="preserve"> </w:t>
      </w:r>
      <w:r>
        <w:rPr>
          <w:b/>
          <w:bCs/>
        </w:rPr>
        <w:t xml:space="preserve">Unified Infrastructure and Architecture Operations (UIAO)</w:t>
      </w:r>
      <w:r>
        <w:t xml:space="preserve"> </w:t>
      </w:r>
      <w:r>
        <w:t xml:space="preserve">framework.</w:t>
      </w:r>
      <w:r>
        <w:t xml:space="preserve"> </w:t>
      </w:r>
      <w:r>
        <w:t xml:space="preserve">Phase 1 focuses on the foundational operational transitions required to</w:t>
      </w:r>
      <w:r>
        <w:t xml:space="preserve"> </w:t>
      </w:r>
      <w:r>
        <w:t xml:space="preserve">move a Microsoft 365 tenant from legacy on-premises management patterns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cloud-native governance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GCC-Moderate</w:t>
      </w:r>
      <w:r>
        <w:t xml:space="preserve"> </w:t>
      </w:r>
      <w:r>
        <w:t xml:space="preserve">compliance. The</w:t>
      </w:r>
      <w:r>
        <w:t xml:space="preserve"> </w:t>
      </w:r>
      <w:r>
        <w:t xml:space="preserve">modernization mechanics described herein establish the deterministic</w:t>
      </w:r>
      <w:r>
        <w:t xml:space="preserve"> </w:t>
      </w:r>
      <w:r>
        <w:t xml:space="preserve">sequencing, technical procedures, governance controls, and gate criteria</w:t>
      </w:r>
      <w:r>
        <w:t xml:space="preserve"> </w:t>
      </w:r>
      <w:r>
        <w:t xml:space="preserve">that govern every operational transition within Phase 1. Each section is</w:t>
      </w:r>
      <w:r>
        <w:t xml:space="preserve"> </w:t>
      </w:r>
      <w:r>
        <w:t xml:space="preserve">designed to be self-contained — readable and actionable in isolation</w:t>
      </w:r>
      <w:r>
        <w:t xml:space="preserve"> </w:t>
      </w:r>
      <w:r>
        <w:t xml:space="preserve">— while maintaining full reference-awareness across the document.</w:t>
      </w:r>
    </w:p>
    <w:p>
      <w:pPr>
        <w:pStyle w:val="BodyText"/>
      </w:pPr>
      <w:r>
        <w:t xml:space="preserve">This document supersedes no prior version. It is the</w:t>
      </w:r>
      <w:r>
        <w:t xml:space="preserve"> </w:t>
      </w:r>
      <w:r>
        <w:rPr>
          <w:b/>
          <w:bCs/>
        </w:rPr>
        <w:t xml:space="preserve">initial</w:t>
      </w:r>
      <w:r>
        <w:rPr>
          <w:b/>
          <w:bCs/>
        </w:rPr>
        <w:t xml:space="preserve"> </w:t>
      </w:r>
      <w:r>
        <w:rPr>
          <w:b/>
          <w:bCs/>
        </w:rPr>
        <w:t xml:space="preserve">pre-release</w:t>
      </w:r>
      <w:r>
        <w:t xml:space="preserve"> </w:t>
      </w:r>
      <w:r>
        <w:t xml:space="preserve">establishing the modernization mechanics baseline for UIAO</w:t>
      </w:r>
      <w:r>
        <w:t xml:space="preserve"> </w:t>
      </w:r>
      <w:r>
        <w:t xml:space="preserve">Phase 1. The scope of this document covers:</w:t>
      </w:r>
      <w:r>
        <w:t xml:space="preserve"> </w:t>
      </w:r>
      <w:r>
        <w:rPr>
          <w:b/>
          <w:bCs/>
        </w:rPr>
        <w:t xml:space="preserve">identity modernization</w:t>
      </w:r>
      <w:r>
        <w:t xml:space="preserve">,</w:t>
      </w:r>
      <w:r>
        <w:t xml:space="preserve"> </w:t>
      </w:r>
      <w:r>
        <w:rPr>
          <w:b/>
          <w:bCs/>
        </w:rPr>
        <w:t xml:space="preserve">device identity transitions</w:t>
      </w:r>
      <w:r>
        <w:t xml:space="preserve">,</w:t>
      </w:r>
      <w:r>
        <w:t xml:space="preserve"> </w:t>
      </w:r>
      <w:r>
        <w:rPr>
          <w:b/>
          <w:bCs/>
        </w:rPr>
        <w:t xml:space="preserve">OrgPath governance expansion</w:t>
      </w:r>
      <w:r>
        <w:t xml:space="preserve"> </w:t>
      </w:r>
      <w:r>
        <w:t xml:space="preserve">(including device OrgPath),</w:t>
      </w:r>
      <w:r>
        <w:t xml:space="preserve"> </w:t>
      </w:r>
      <w:r>
        <w:rPr>
          <w:b/>
          <w:bCs/>
        </w:rPr>
        <w:t xml:space="preserve">Group Policy to Intune conversion</w:t>
      </w:r>
      <w:r>
        <w:t xml:space="preserve">,</w:t>
      </w:r>
      <w:r>
        <w:t xml:space="preserve"> </w:t>
      </w:r>
      <w:r>
        <w:rPr>
          <w:b/>
          <w:bCs/>
        </w:rPr>
        <w:t xml:space="preserve">Azure Arc enrollment</w:t>
      </w:r>
      <w:r>
        <w:t xml:space="preserve"> </w:t>
      </w:r>
      <w:r>
        <w:t xml:space="preserve">for hybrid server management,</w:t>
      </w:r>
      <w:r>
        <w:t xml:space="preserve"> </w:t>
      </w:r>
      <w:r>
        <w:rPr>
          <w:b/>
          <w:bCs/>
        </w:rPr>
        <w:t xml:space="preserve">boundary</w:t>
      </w:r>
      <w:r>
        <w:rPr>
          <w:b/>
          <w:bCs/>
        </w:rPr>
        <w:t xml:space="preserve"> </w:t>
      </w:r>
      <w:r>
        <w:rPr>
          <w:b/>
          <w:bCs/>
        </w:rPr>
        <w:t xml:space="preserve">resolution considerations</w:t>
      </w:r>
      <w:r>
        <w:t xml:space="preserve">,</w:t>
      </w:r>
      <w:r>
        <w:t xml:space="preserve"> </w:t>
      </w:r>
      <w:r>
        <w:rPr>
          <w:b/>
          <w:bCs/>
        </w:rPr>
        <w:t xml:space="preserve">SCuBA operationalization</w:t>
      </w:r>
      <w:r>
        <w:t xml:space="preserve">,</w:t>
      </w:r>
      <w:r>
        <w:t xml:space="preserve"> </w:t>
      </w:r>
      <w:r>
        <w:rPr>
          <w:b/>
          <w:bCs/>
        </w:rPr>
        <w:t xml:space="preserve">drift</w:t>
      </w:r>
      <w:r>
        <w:rPr>
          <w:b/>
          <w:bCs/>
        </w:rPr>
        <w:t xml:space="preserve"> </w:t>
      </w:r>
      <w:r>
        <w:rPr>
          <w:b/>
          <w:bCs/>
        </w:rPr>
        <w:t xml:space="preserve">detection and remediation</w:t>
      </w:r>
      <w:r>
        <w:t xml:space="preserve">, and</w:t>
      </w:r>
      <w:r>
        <w:t xml:space="preserve"> </w:t>
      </w:r>
      <w:r>
        <w:rPr>
          <w:b/>
          <w:bCs/>
        </w:rPr>
        <w:t xml:space="preserve">modernization sequencing</w:t>
      </w:r>
      <w:r>
        <w:t xml:space="preserve">. Each</w:t>
      </w:r>
      <w:r>
        <w:t xml:space="preserve"> </w:t>
      </w:r>
      <w:r>
        <w:t xml:space="preserve">domain is treated as a discrete modernization work stream with defined</w:t>
      </w:r>
      <w:r>
        <w:t xml:space="preserve"> </w:t>
      </w:r>
      <w:r>
        <w:t xml:space="preserve">inputs, outputs, prerequisites, and gate criteria that integrate into</w:t>
      </w:r>
      <w:r>
        <w:t xml:space="preserve"> </w:t>
      </w:r>
      <w:r>
        <w:t xml:space="preserve">the overall Phase 1 sequence.</w:t>
      </w:r>
    </w:p>
    <w:p>
      <w:pPr>
        <w:pStyle w:val="BodyText"/>
      </w:pPr>
      <w:r>
        <w:t xml:space="preserve">This document operates within the</w:t>
      </w:r>
      <w:r>
        <w:t xml:space="preserve"> </w:t>
      </w:r>
      <w:r>
        <w:rPr>
          <w:b/>
          <w:bCs/>
        </w:rPr>
        <w:t xml:space="preserve">UIAO Canon governance framework</w:t>
      </w:r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w:r>
        <w:rPr>
          <w:b/>
          <w:bCs/>
        </w:rPr>
        <w:t xml:space="preserve">canon/</w:t>
      </w:r>
      <w:r>
        <w:t xml:space="preserve"> </w:t>
      </w:r>
      <w:r>
        <w:t xml:space="preserve">is the single source of truth for all artifacts. All</w:t>
      </w:r>
      <w:r>
        <w:t xml:space="preserve"> </w:t>
      </w:r>
      <w:r>
        <w:t xml:space="preserve">content produced under Phase 1 traces provenance to canonical sources.</w:t>
      </w:r>
      <w:r>
        <w:t xml:space="preserve"> </w:t>
      </w:r>
      <w:r>
        <w:t xml:space="preserve">Every artifact, policy, configuration baseline, and operational</w:t>
      </w:r>
      <w:r>
        <w:t xml:space="preserve"> </w:t>
      </w:r>
      <w:r>
        <w:t xml:space="preserve">procedure referenced or produced by the mechanics in this document must</w:t>
      </w:r>
      <w:r>
        <w:t xml:space="preserve"> </w:t>
      </w:r>
      <w:r>
        <w:t xml:space="preserve">comply with Canon governance rules: immutable history, documented</w:t>
      </w:r>
      <w:r>
        <w:t xml:space="preserve"> </w:t>
      </w:r>
      <w:r>
        <w:t xml:space="preserve">ownership, provenance chains, and the UIAO metadata schema. Orphaned</w:t>
      </w:r>
      <w:r>
        <w:t xml:space="preserve"> </w:t>
      </w:r>
      <w:r>
        <w:t xml:space="preserve">artifacts — those without provenance or ownership — are</w:t>
      </w:r>
      <w:r>
        <w:t xml:space="preserve"> </w:t>
      </w:r>
      <w:r>
        <w:rPr>
          <w:b/>
          <w:bCs/>
        </w:rPr>
        <w:t xml:space="preserve">CI-blocking</w:t>
      </w:r>
      <w:r>
        <w:t xml:space="preserve"> </w:t>
      </w:r>
      <w:r>
        <w:t xml:space="preserve">under UIAO Canon rules.</w:t>
      </w:r>
    </w:p>
    <w:bookmarkEnd w:id="9"/>
    <w:bookmarkStart w:id="11" w:name="section-2-modernization-sequencing"/>
    <w:p>
      <w:pPr>
        <w:pStyle w:val="Heading1"/>
      </w:pPr>
      <w:r>
        <w:t xml:space="preserve">Section 2: Modernization Sequencing</w:t>
      </w:r>
    </w:p>
    <w:p>
      <w:pPr>
        <w:pStyle w:val="FirstParagraph"/>
      </w:pPr>
      <w:r>
        <w:t xml:space="preserve">The modernization sequence governs the</w:t>
      </w:r>
      <w:r>
        <w:t xml:space="preserve"> </w:t>
      </w:r>
      <w:r>
        <w:rPr>
          <w:b/>
          <w:bCs/>
        </w:rPr>
        <w:t xml:space="preserve">order of operations</w:t>
      </w:r>
      <w:r>
        <w:t xml:space="preserve"> </w:t>
      </w:r>
      <w:r>
        <w:t xml:space="preserve">for all</w:t>
      </w:r>
      <w:r>
        <w:t xml:space="preserve"> </w:t>
      </w:r>
      <w:r>
        <w:t xml:space="preserve">Phase 1 work. This sequence is deterministic: each step has defined</w:t>
      </w:r>
      <w:r>
        <w:t xml:space="preserve"> </w:t>
      </w:r>
      <w:r>
        <w:t xml:space="preserve">prerequisites that must be satisfied before execution begins, defined</w:t>
      </w:r>
      <w:r>
        <w:t xml:space="preserve"> </w:t>
      </w:r>
      <w:r>
        <w:t xml:space="preserve">key actions that constitute the work, gate criteria that must be met</w:t>
      </w:r>
      <w:r>
        <w:t xml:space="preserve"> </w:t>
      </w:r>
      <w:r>
        <w:t xml:space="preserve">before the step is considered complete, and defined outputs that feed</w:t>
      </w:r>
      <w:r>
        <w:t xml:space="preserve"> </w:t>
      </w:r>
      <w:r>
        <w:t xml:space="preserve">downstream steps. Deviation from this sequence requires formal</w:t>
      </w:r>
      <w:r>
        <w:t xml:space="preserve"> </w:t>
      </w:r>
      <w:r>
        <w:t xml:space="preserve">governance review and Canon Steward approval.</w:t>
      </w:r>
    </w:p>
    <w:bookmarkStart w:id="10" w:name="table-1-phase-1-modernization-sequence"/>
    <w:p>
      <w:pPr>
        <w:pStyle w:val="Heading2"/>
      </w:pPr>
      <w:r>
        <w:t xml:space="preserve">Table 1: Phase 1 Modernization Sequence</w:t>
      </w:r>
    </w:p>
    <w:tbl>
      <w:tblPr>
        <w:tblStyle w:val="Table"/>
        <w:tblW w:type="pct" w:w="4909"/>
        <w:tblLayout w:type="fixed"/>
        <w:tblLook w:firstRow="1" w:lastRow="0" w:firstColumn="0" w:lastColumn="0" w:noHBand="0" w:noVBand="0" w:val="0020"/>
      </w:tblPr>
      <w:tblGrid>
        <w:gridCol w:w="936"/>
        <w:gridCol w:w="1512"/>
        <w:gridCol w:w="1440"/>
        <w:gridCol w:w="1368"/>
        <w:gridCol w:w="1224"/>
        <w:gridCol w:w="12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Sequence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Domain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Tenant access;</w:t>
            </w:r>
            <w:r>
              <w:t xml:space="preserve"> </w:t>
            </w:r>
            <w:r>
              <w:t xml:space="preserve">Entra ID P1/P2</w:t>
            </w:r>
            <w:r>
              <w:t xml:space="preserve"> </w:t>
            </w:r>
            <w:r>
              <w:t xml:space="preserve">licensing</w:t>
            </w:r>
            <w:r>
              <w:t xml:space="preserve"> </w:t>
            </w:r>
            <w:r>
              <w:t xml:space="preserve">confirmed;</w:t>
            </w:r>
            <w:r>
              <w:t xml:space="preserve"> </w:t>
            </w:r>
            <w:r>
              <w:t xml:space="preserve">directory</w:t>
            </w:r>
            <w:r>
              <w:t xml:space="preserve"> </w:t>
            </w:r>
            <w:r>
              <w:t xml:space="preserve">synchronization</w:t>
            </w:r>
            <w:r>
              <w:t xml:space="preserve"> </w:t>
            </w:r>
            <w:r>
              <w:t xml:space="preserve">operational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hygiene</w:t>
            </w:r>
            <w:r>
              <w:t xml:space="preserve"> </w:t>
            </w:r>
            <w:r>
              <w:t xml:space="preserve">audit; orphaned</w:t>
            </w:r>
            <w:r>
              <w:t xml:space="preserve"> </w:t>
            </w:r>
            <w:r>
              <w:t xml:space="preserve">account</w:t>
            </w:r>
            <w:r>
              <w:t xml:space="preserve"> </w:t>
            </w:r>
            <w:r>
              <w:t xml:space="preserve">remediation; user</w:t>
            </w:r>
            <w:r>
              <w:t xml:space="preserve"> </w:t>
            </w:r>
            <w:r>
              <w:t xml:space="preserve">lifecycle review;</w:t>
            </w:r>
            <w:r>
              <w:t xml:space="preserve"> </w:t>
            </w:r>
            <w:r>
              <w:t xml:space="preserve">MFA enforcement</w:t>
            </w:r>
            <w:r>
              <w:t xml:space="preserve"> </w:t>
            </w:r>
            <w:r>
              <w:t xml:space="preserve">via Conditional</w:t>
            </w:r>
            <w:r>
              <w:t xml:space="preserve"> </w:t>
            </w:r>
            <w:r>
              <w:t xml:space="preserve">Access;</w:t>
            </w:r>
            <w:r>
              <w:t xml:space="preserve"> </w:t>
            </w:r>
            <w:r>
              <w:t xml:space="preserve">passwordless</w:t>
            </w:r>
            <w:r>
              <w:t xml:space="preserve"> </w:t>
            </w:r>
            <w:r>
              <w:t xml:space="preserve">readiness</w:t>
            </w:r>
            <w:r>
              <w:t xml:space="preserve"> </w:t>
            </w:r>
            <w:r>
              <w:t xml:space="preserve">assessment;</w:t>
            </w:r>
            <w:r>
              <w:t xml:space="preserve"> </w:t>
            </w:r>
            <w:r>
              <w:t xml:space="preserve">service account</w:t>
            </w:r>
            <w:r>
              <w:t xml:space="preserve"> </w:t>
            </w:r>
            <w:r>
              <w:t xml:space="preserve">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orphaned</w:t>
            </w:r>
            <w:r>
              <w:t xml:space="preserve"> </w:t>
            </w:r>
            <w:r>
              <w:t xml:space="preserve">accounts; 100%</w:t>
            </w:r>
            <w:r>
              <w:t xml:space="preserve"> </w:t>
            </w:r>
            <w:r>
              <w:t xml:space="preserve">MFA</w:t>
            </w:r>
            <w:r>
              <w:t xml:space="preserve"> </w:t>
            </w:r>
            <w:r>
              <w:t xml:space="preserve">registration;</w:t>
            </w:r>
            <w:r>
              <w:t xml:space="preserve"> </w:t>
            </w:r>
            <w:r>
              <w:t xml:space="preserve">Conditional</w:t>
            </w:r>
            <w:r>
              <w:t xml:space="preserve"> </w:t>
            </w:r>
            <w:r>
              <w:t xml:space="preserve">Access policies</w:t>
            </w:r>
            <w:r>
              <w:t xml:space="preserve"> </w:t>
            </w:r>
            <w:r>
              <w:t xml:space="preserve">deployed and</w:t>
            </w:r>
            <w:r>
              <w:t xml:space="preserve"> </w:t>
            </w:r>
            <w:r>
              <w:t xml:space="preserve">validated;</w:t>
            </w:r>
            <w:r>
              <w:t xml:space="preserve"> </w:t>
            </w:r>
            <w:r>
              <w:t xml:space="preserve">legacy per-user</w:t>
            </w:r>
            <w:r>
              <w:t xml:space="preserve"> </w:t>
            </w:r>
            <w:r>
              <w:t xml:space="preserve">MFA disabled;</w:t>
            </w:r>
            <w:r>
              <w:t xml:space="preserve"> </w:t>
            </w:r>
            <w:r>
              <w:t xml:space="preserve">service account</w:t>
            </w:r>
            <w:r>
              <w:t xml:space="preserve"> </w:t>
            </w:r>
            <w:r>
              <w:t xml:space="preserve">inventory</w:t>
            </w:r>
            <w:r>
              <w:t xml:space="preserve"> </w:t>
            </w: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Hygiene</w:t>
            </w:r>
            <w:r>
              <w:t xml:space="preserve"> </w:t>
            </w:r>
            <w:r>
              <w:t xml:space="preserve">Report; MFA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Policy Set;</w:t>
            </w:r>
            <w:r>
              <w:t xml:space="preserve"> </w:t>
            </w:r>
            <w:r>
              <w:t xml:space="preserve">Passwordless</w:t>
            </w:r>
            <w:r>
              <w:t xml:space="preserve"> </w:t>
            </w:r>
            <w:r>
              <w:t xml:space="preserve">Readiness</w:t>
            </w:r>
            <w:r>
              <w:t xml:space="preserve"> </w:t>
            </w:r>
            <w:r>
              <w:t xml:space="preserve">Assessment;</w:t>
            </w:r>
            <w:r>
              <w:t xml:space="preserve"> </w:t>
            </w:r>
            <w:r>
              <w:t xml:space="preserve">Service Account</w:t>
            </w:r>
            <w:r>
              <w:t xml:space="preserve"> </w:t>
            </w:r>
            <w:r>
              <w:t xml:space="preserve">Register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Establishment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1 complete;</w:t>
            </w:r>
            <w:r>
              <w:t xml:space="preserve"> </w:t>
            </w:r>
            <w:r>
              <w:t xml:space="preserve">organizational</w:t>
            </w:r>
            <w:r>
              <w:t xml:space="preserve"> </w:t>
            </w:r>
            <w:r>
              <w:t xml:space="preserve">structure data</w:t>
            </w:r>
            <w:r>
              <w:t xml:space="preserve"> </w:t>
            </w:r>
            <w:r>
              <w:t xml:space="preserve">available</w:t>
            </w:r>
            <w:r>
              <w:t xml:space="preserve"> </w:t>
            </w:r>
            <w:r>
              <w:t xml:space="preserve">(department,</w:t>
            </w:r>
            <w:r>
              <w:t xml:space="preserve"> </w:t>
            </w:r>
            <w:r>
              <w:t xml:space="preserve">location, cost</w:t>
            </w:r>
            <w:r>
              <w:t xml:space="preserve"> </w:t>
            </w:r>
            <w:r>
              <w:t xml:space="preserve">center); Entra ID</w:t>
            </w:r>
            <w:r>
              <w:t xml:space="preserve"> </w:t>
            </w:r>
            <w:r>
              <w:t xml:space="preserve">P1 licensing for</w:t>
            </w:r>
            <w:r>
              <w:t xml:space="preserve"> </w:t>
            </w:r>
            <w:r>
              <w:t xml:space="preserve">Administrative</w:t>
            </w:r>
            <w:r>
              <w:t xml:space="preserve"> </w:t>
            </w:r>
            <w:r>
              <w:t xml:space="preserve">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Administrative</w:t>
            </w:r>
            <w:r>
              <w:t xml:space="preserve"> </w:t>
            </w:r>
            <w:r>
              <w:t xml:space="preserve">Unit architecture</w:t>
            </w:r>
            <w:r>
              <w:t xml:space="preserve"> </w:t>
            </w:r>
            <w:r>
              <w:t xml:space="preserve">design; AU</w:t>
            </w:r>
            <w:r>
              <w:t xml:space="preserve"> </w:t>
            </w:r>
            <w:r>
              <w:t xml:space="preserve">creation; dynamic</w:t>
            </w:r>
            <w:r>
              <w:t xml:space="preserve"> </w:t>
            </w:r>
            <w:r>
              <w:t xml:space="preserve">membership rule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user-to-AU</w:t>
            </w:r>
            <w:r>
              <w:t xml:space="preserve"> </w:t>
            </w:r>
            <w:r>
              <w:t xml:space="preserve">assignment</w:t>
            </w:r>
            <w:r>
              <w:t xml:space="preserve"> </w:t>
            </w:r>
            <w:r>
              <w:t xml:space="preserve">validation; scoped</w:t>
            </w:r>
            <w:r>
              <w:t xml:space="preserve"> </w:t>
            </w:r>
            <w:r>
              <w:t xml:space="preserve">RBAC role</w:t>
            </w:r>
            <w:r>
              <w:t xml:space="preserve"> </w:t>
            </w:r>
            <w:r>
              <w:t xml:space="preserve">assignment;</w:t>
            </w:r>
            <w:r>
              <w:t xml:space="preserve"> </w:t>
            </w:r>
            <w:r>
              <w:t xml:space="preserve">OrgPath governance</w:t>
            </w:r>
            <w:r>
              <w:t xml:space="preserve"> </w:t>
            </w:r>
            <w:r>
              <w:t xml:space="preserve">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users</w:t>
            </w:r>
            <w:r>
              <w:t xml:space="preserve"> </w:t>
            </w:r>
            <w:r>
              <w:t xml:space="preserve">assigned to</w:t>
            </w:r>
            <w:r>
              <w:t xml:space="preserve"> </w:t>
            </w:r>
            <w:r>
              <w:t xml:space="preserve">correct AUs;</w:t>
            </w:r>
            <w:r>
              <w:t xml:space="preserve"> </w:t>
            </w:r>
            <w:r>
              <w:t xml:space="preserve">dynamic</w:t>
            </w:r>
            <w:r>
              <w:t xml:space="preserve"> </w:t>
            </w:r>
            <w:r>
              <w:t xml:space="preserve">membership rules</w:t>
            </w:r>
            <w:r>
              <w:t xml:space="preserve"> </w:t>
            </w:r>
            <w:r>
              <w:t xml:space="preserve">validated;</w:t>
            </w:r>
            <w:r>
              <w:t xml:space="preserve"> </w:t>
            </w:r>
            <w:r>
              <w:t xml:space="preserve">scoped RBAC</w:t>
            </w:r>
            <w:r>
              <w:t xml:space="preserve"> </w:t>
            </w:r>
            <w:r>
              <w:t xml:space="preserve">assignments</w:t>
            </w:r>
            <w:r>
              <w:t xml:space="preserve"> </w:t>
            </w:r>
            <w:r>
              <w:t xml:space="preserve">tested and</w:t>
            </w:r>
            <w:r>
              <w:t xml:space="preserve"> </w:t>
            </w:r>
            <w:r>
              <w:t xml:space="preserve">confirmed;</w:t>
            </w:r>
            <w:r>
              <w:t xml:space="preserve"> </w:t>
            </w:r>
            <w:r>
              <w:t xml:space="preserve">OrgPath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document</w:t>
            </w:r>
            <w:r>
              <w:t xml:space="preserve"> </w:t>
            </w:r>
            <w:r>
              <w:t xml:space="preserve">published to</w:t>
            </w:r>
            <w:r>
              <w:t xml:space="preserve"> </w:t>
            </w:r>
            <w:r>
              <w:t xml:space="preserve">canon/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Document; AU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Manifest; Scoped</w:t>
            </w:r>
            <w:r>
              <w:t xml:space="preserve"> </w:t>
            </w:r>
            <w:r>
              <w:t xml:space="preserve">RBAC Assignment</w:t>
            </w:r>
            <w:r>
              <w:t xml:space="preserve"> </w:t>
            </w:r>
            <w:r>
              <w:t xml:space="preserve">Register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OrgPath</w:t>
            </w:r>
            <w:r>
              <w:t xml:space="preserve"> </w:t>
            </w:r>
            <w:r>
              <w:t xml:space="preserve">Extension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2 complete;</w:t>
            </w:r>
            <w:r>
              <w:t xml:space="preserve"> </w:t>
            </w:r>
            <w:r>
              <w:t xml:space="preserve">device inventory</w:t>
            </w:r>
            <w:r>
              <w:t xml:space="preserve"> </w:t>
            </w:r>
            <w:r>
              <w:t xml:space="preserve">available; Graph</w:t>
            </w:r>
            <w:r>
              <w:t xml:space="preserve"> </w:t>
            </w:r>
            <w:r>
              <w:t xml:space="preserve">API permissions</w:t>
            </w:r>
            <w:r>
              <w:t xml:space="preserve"> </w:t>
            </w:r>
            <w:r>
              <w:t xml:space="preserve">configured for</w:t>
            </w:r>
            <w:r>
              <w:t xml:space="preserve"> </w:t>
            </w:r>
            <w:r>
              <w:t xml:space="preserve">device-to-user</w:t>
            </w:r>
            <w:r>
              <w:t xml:space="preserve"> </w:t>
            </w:r>
            <w:r>
              <w:t xml:space="preserve">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Device-to-AU</w:t>
            </w:r>
            <w:r>
              <w:t xml:space="preserve"> </w:t>
            </w:r>
            <w:r>
              <w:t xml:space="preserve">correlation script</w:t>
            </w:r>
            <w:r>
              <w:t xml:space="preserve"> </w:t>
            </w:r>
            <w:r>
              <w:t xml:space="preserve">development</w:t>
            </w:r>
            <w:r>
              <w:t xml:space="preserve"> </w:t>
            </w:r>
            <w:r>
              <w:t xml:space="preserve">(PowerShell);</w:t>
            </w:r>
            <w:r>
              <w:t xml:space="preserve"> </w:t>
            </w:r>
            <w:r>
              <w:t xml:space="preserve">device AU</w:t>
            </w:r>
            <w:r>
              <w:t xml:space="preserve"> </w:t>
            </w:r>
            <w:r>
              <w:t xml:space="preserve">creation; device</w:t>
            </w:r>
            <w:r>
              <w:t xml:space="preserve"> </w:t>
            </w:r>
            <w:r>
              <w:t xml:space="preserve">assignment</w:t>
            </w:r>
            <w:r>
              <w:t xml:space="preserve"> </w:t>
            </w:r>
            <w:r>
              <w:t xml:space="preserve">execution; scoped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administration</w:t>
            </w:r>
            <w:r>
              <w:t xml:space="preserve"> </w:t>
            </w:r>
            <w:r>
              <w:t xml:space="preserve">validation;</w:t>
            </w:r>
            <w:r>
              <w:t xml:space="preserve"> </w:t>
            </w:r>
            <w:r>
              <w:t xml:space="preserve">BitLocker/LAPS</w:t>
            </w:r>
            <w:r>
              <w:t xml:space="preserve"> </w:t>
            </w:r>
            <w:r>
              <w:t xml:space="preserve">scoping</w:t>
            </w:r>
            <w:r>
              <w:t xml:space="preserve"> </w:t>
            </w:r>
            <w:r>
              <w:t xml:space="preserve">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managed</w:t>
            </w:r>
            <w:r>
              <w:t xml:space="preserve"> </w:t>
            </w:r>
            <w:r>
              <w:t xml:space="preserve">devices</w:t>
            </w:r>
            <w:r>
              <w:t xml:space="preserve"> </w:t>
            </w:r>
            <w:r>
              <w:t xml:space="preserve">correlated to</w:t>
            </w:r>
            <w:r>
              <w:t xml:space="preserve"> </w:t>
            </w:r>
            <w:r>
              <w:t xml:space="preserve">owning user's</w:t>
            </w:r>
            <w:r>
              <w:t xml:space="preserve"> </w:t>
            </w:r>
            <w:r>
              <w:t xml:space="preserve">AU; scoped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administration</w:t>
            </w:r>
            <w:r>
              <w:t xml:space="preserve"> </w:t>
            </w:r>
            <w:r>
              <w:t xml:space="preserve">operational;</w:t>
            </w:r>
            <w:r>
              <w:t xml:space="preserve"> </w:t>
            </w:r>
            <w:r>
              <w:t xml:space="preserve">BitLocker key</w:t>
            </w:r>
            <w:r>
              <w:t xml:space="preserve"> </w:t>
            </w:r>
            <w:r>
              <w:t xml:space="preserve">recovery scoped</w:t>
            </w:r>
            <w:r>
              <w:t xml:space="preserve"> </w:t>
            </w:r>
            <w:r>
              <w:t xml:space="preserve">to AU; LAPS</w:t>
            </w:r>
            <w:r>
              <w:t xml:space="preserve"> </w:t>
            </w:r>
            <w:r>
              <w:t xml:space="preserve">administration</w:t>
            </w:r>
            <w:r>
              <w:t xml:space="preserve"> </w:t>
            </w:r>
            <w:r>
              <w:t xml:space="preserve">scoped to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OrgPath</w:t>
            </w:r>
            <w:r>
              <w:t xml:space="preserve"> </w:t>
            </w:r>
            <w:r>
              <w:t xml:space="preserve">Correlation</w:t>
            </w:r>
            <w:r>
              <w:t xml:space="preserve"> </w:t>
            </w:r>
            <w:r>
              <w:t xml:space="preserve">Script; Device AU</w:t>
            </w:r>
            <w:r>
              <w:t xml:space="preserve"> </w:t>
            </w:r>
            <w:r>
              <w:t xml:space="preserve">Assignment</w:t>
            </w:r>
            <w:r>
              <w:t xml:space="preserve"> </w:t>
            </w:r>
            <w:r>
              <w:t xml:space="preserve">Report; Scoped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Administration</w:t>
            </w:r>
            <w:r>
              <w:t xml:space="preserve"> </w:t>
            </w:r>
            <w:r>
              <w:t xml:space="preserve">Validation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Identity</w:t>
            </w:r>
            <w:r>
              <w:t xml:space="preserve"> </w:t>
            </w:r>
            <w:r>
              <w:t xml:space="preserve">Modernization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 complete;</w:t>
            </w:r>
            <w:r>
              <w:t xml:space="preserve"> </w:t>
            </w:r>
            <w:r>
              <w:t xml:space="preserve">device inventory</w:t>
            </w:r>
            <w:r>
              <w:t xml:space="preserve"> </w:t>
            </w:r>
            <w:r>
              <w:t xml:space="preserve">with join-type</w:t>
            </w:r>
            <w:r>
              <w:t xml:space="preserve"> </w:t>
            </w:r>
            <w:r>
              <w:t xml:space="preserve">classification;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compatibility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initiated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Join device</w:t>
            </w:r>
            <w:r>
              <w:t xml:space="preserve"> </w:t>
            </w:r>
            <w:r>
              <w:t xml:space="preserve">inventory; Entra</w:t>
            </w:r>
            <w:r>
              <w:t xml:space="preserve"> </w:t>
            </w:r>
            <w:r>
              <w:t xml:space="preserve">Join migration</w:t>
            </w:r>
            <w:r>
              <w:t xml:space="preserve"> </w:t>
            </w:r>
            <w:r>
              <w:t xml:space="preserve">planning; Kerberos</w:t>
            </w:r>
            <w:r>
              <w:t xml:space="preserve"> </w:t>
            </w:r>
            <w:r>
              <w:t xml:space="preserve">Cloud Trust</w:t>
            </w:r>
            <w:r>
              <w:t xml:space="preserve"> </w:t>
            </w:r>
            <w:r>
              <w:t xml:space="preserve">assessment;</w:t>
            </w:r>
            <w:r>
              <w:t xml:space="preserve"> </w:t>
            </w:r>
            <w:r>
              <w:t xml:space="preserve">Conditional Access</w:t>
            </w:r>
            <w:r>
              <w:t xml:space="preserve"> </w:t>
            </w:r>
            <w:r>
              <w:t xml:space="preserve">device trust</w:t>
            </w:r>
            <w:r>
              <w:t xml:space="preserve"> </w:t>
            </w:r>
            <w:r>
              <w:t xml:space="preserve">policy design;</w:t>
            </w:r>
            <w:r>
              <w:t xml:space="preserve"> </w:t>
            </w:r>
            <w:r>
              <w:t xml:space="preserve">Autopilot profile</w:t>
            </w:r>
            <w:r>
              <w:t xml:space="preserve"> </w:t>
            </w:r>
            <w:r>
              <w:t xml:space="preserve">configuration for</w:t>
            </w:r>
            <w:r>
              <w:t xml:space="preserve"> </w:t>
            </w:r>
            <w:r>
              <w:t xml:space="preserve">new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identity</w:t>
            </w:r>
            <w:r>
              <w:t xml:space="preserve"> </w:t>
            </w:r>
            <w:r>
              <w:t xml:space="preserve">transition plan</w:t>
            </w:r>
            <w:r>
              <w:t xml:space="preserve"> </w:t>
            </w:r>
            <w:r>
              <w:t xml:space="preserve">published;</w:t>
            </w:r>
            <w:r>
              <w:t xml:space="preserve"> </w:t>
            </w:r>
            <w:r>
              <w:t xml:space="preserve">Autopilot</w:t>
            </w:r>
            <w:r>
              <w:t xml:space="preserve"> </w:t>
            </w:r>
            <w:r>
              <w:t xml:space="preserve">profiles</w:t>
            </w:r>
            <w:r>
              <w:t xml:space="preserve"> </w:t>
            </w:r>
            <w:r>
              <w:t xml:space="preserve">deployed for new</w:t>
            </w:r>
            <w:r>
              <w:t xml:space="preserve"> </w:t>
            </w:r>
            <w:r>
              <w:t xml:space="preserve">provisioning;</w:t>
            </w:r>
            <w:r>
              <w:t xml:space="preserve"> </w:t>
            </w:r>
            <w:r>
              <w:t xml:space="preserve">Kerberos Cloud</w:t>
            </w:r>
            <w:r>
              <w:t xml:space="preserve"> </w:t>
            </w:r>
            <w:r>
              <w:t xml:space="preserve">Trust evaluated;</w:t>
            </w:r>
            <w:r>
              <w:t xml:space="preserve"> </w:t>
            </w:r>
            <w:r>
              <w:t xml:space="preserve">device trust</w:t>
            </w:r>
            <w:r>
              <w:t xml:space="preserve"> </w:t>
            </w:r>
            <w:r>
              <w:t xml:space="preserve">Conditional</w:t>
            </w:r>
            <w:r>
              <w:t xml:space="preserve"> </w:t>
            </w:r>
            <w:r>
              <w:t xml:space="preserve">Access policies</w:t>
            </w:r>
            <w:r>
              <w:t xml:space="preserve"> </w:t>
            </w:r>
            <w:r>
              <w:t xml:space="preserve">staged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Identity</w:t>
            </w:r>
            <w:r>
              <w:t xml:space="preserve"> </w:t>
            </w:r>
            <w:r>
              <w:t xml:space="preserve">Transition Plan;</w:t>
            </w:r>
            <w:r>
              <w:t xml:space="preserve"> </w:t>
            </w:r>
            <w:r>
              <w:t xml:space="preserve">Autopilot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Profiles; Device</w:t>
            </w:r>
            <w:r>
              <w:t xml:space="preserve"> </w:t>
            </w:r>
            <w:r>
              <w:t xml:space="preserve">Trust Policy Set</w:t>
            </w:r>
            <w:r>
              <w:t xml:space="preserve"> </w:t>
            </w:r>
            <w:r>
              <w:t xml:space="preserve">(staged)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Conversion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 complete;</w:t>
            </w:r>
            <w:r>
              <w:t xml:space="preserve"> </w:t>
            </w:r>
            <w:r>
              <w:t xml:space="preserve">GPO inventory</w:t>
            </w:r>
            <w:r>
              <w:t xml:space="preserve"> </w:t>
            </w:r>
            <w:r>
              <w:t xml:space="preserve">exported as XML;</w:t>
            </w:r>
            <w:r>
              <w:t xml:space="preserve"> </w:t>
            </w:r>
            <w:r>
              <w:t xml:space="preserve">Intune licensing</w:t>
            </w:r>
            <w:r>
              <w:t xml:space="preserve"> </w:t>
            </w:r>
            <w:r>
              <w:t xml:space="preserve">confirmed; MDM</w:t>
            </w:r>
            <w:r>
              <w:t xml:space="preserve"> </w:t>
            </w:r>
            <w:r>
              <w:t xml:space="preserve">enrollment verified</w:t>
            </w:r>
            <w:r>
              <w:t xml:space="preserve"> </w:t>
            </w:r>
            <w:r>
              <w:t xml:space="preserve">for target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 inventory and</w:t>
            </w:r>
            <w:r>
              <w:t xml:space="preserve"> </w:t>
            </w:r>
            <w:r>
              <w:t xml:space="preserve">rationalization;</w:t>
            </w:r>
            <w:r>
              <w:t xml:space="preserve"> </w:t>
            </w:r>
            <w:r>
              <w:t xml:space="preserve">Group Policy</w:t>
            </w:r>
            <w:r>
              <w:t xml:space="preserve"> </w:t>
            </w:r>
            <w:r>
              <w:t xml:space="preserve">Analytics import;</w:t>
            </w:r>
            <w:r>
              <w:t xml:space="preserve"> </w:t>
            </w:r>
            <w:r>
              <w:t xml:space="preserve">compatibility</w:t>
            </w:r>
            <w:r>
              <w:t xml:space="preserve"> </w:t>
            </w:r>
            <w:r>
              <w:t xml:space="preserve">analysis; Settings</w:t>
            </w:r>
            <w:r>
              <w:t xml:space="preserve"> </w:t>
            </w:r>
            <w:r>
              <w:t xml:space="preserve">Catalog migration</w:t>
            </w:r>
            <w:r>
              <w:t xml:space="preserve"> </w:t>
            </w:r>
            <w:r>
              <w:t xml:space="preserve">for supported</w:t>
            </w:r>
            <w:r>
              <w:t xml:space="preserve"> </w:t>
            </w:r>
            <w:r>
              <w:t xml:space="preserve">settings;</w:t>
            </w:r>
            <w:r>
              <w:t xml:space="preserve"> </w:t>
            </w:r>
            <w:r>
              <w:t xml:space="preserve">Proactive</w:t>
            </w:r>
            <w:r>
              <w:t xml:space="preserve"> </w:t>
            </w:r>
            <w:r>
              <w:t xml:space="preserve">Remediations for</w:t>
            </w:r>
            <w:r>
              <w:t xml:space="preserve"> </w:t>
            </w:r>
            <w:r>
              <w:t xml:space="preserve">unsupported</w:t>
            </w:r>
            <w:r>
              <w:t xml:space="preserve"> </w:t>
            </w:r>
            <w:r>
              <w:t xml:space="preserve">settings;</w:t>
            </w:r>
            <w:r>
              <w:t xml:space="preserve"> </w:t>
            </w:r>
            <w:r>
              <w:t xml:space="preserve">coexistence</w:t>
            </w:r>
            <w:r>
              <w:t xml:space="preserve"> </w:t>
            </w:r>
            <w:r>
              <w:t xml:space="preserve">testing; policy</w:t>
            </w:r>
            <w:r>
              <w:t xml:space="preserve"> </w:t>
            </w:r>
            <w:r>
              <w:t xml:space="preserve">ownership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active GPOs</w:t>
            </w:r>
            <w:r>
              <w:t xml:space="preserve"> </w:t>
            </w:r>
            <w:r>
              <w:t xml:space="preserve">inventoried and</w:t>
            </w:r>
            <w:r>
              <w:t xml:space="preserve"> </w:t>
            </w:r>
            <w:r>
              <w:t xml:space="preserve">classified;</w:t>
            </w:r>
            <w:r>
              <w:t xml:space="preserve"> </w:t>
            </w:r>
            <w:r>
              <w:t xml:space="preserve">migration path</w:t>
            </w:r>
            <w:r>
              <w:t xml:space="preserve"> </w:t>
            </w:r>
            <w:r>
              <w:t xml:space="preserve">determined for</w:t>
            </w:r>
            <w:r>
              <w:t xml:space="preserve"> </w:t>
            </w:r>
            <w:r>
              <w:t xml:space="preserve">each GPO;</w:t>
            </w:r>
            <w:r>
              <w:t xml:space="preserve"> </w:t>
            </w:r>
            <w:r>
              <w:t xml:space="preserve">Settings Catalog</w:t>
            </w:r>
            <w:r>
              <w:t xml:space="preserve"> </w:t>
            </w:r>
            <w:r>
              <w:t xml:space="preserve">policies</w:t>
            </w:r>
            <w:r>
              <w:t xml:space="preserve"> </w:t>
            </w:r>
            <w:r>
              <w:t xml:space="preserve">deployed to</w:t>
            </w:r>
            <w:r>
              <w:t xml:space="preserve"> </w:t>
            </w:r>
            <w:r>
              <w:t xml:space="preserve">pilot groups;</w:t>
            </w:r>
            <w:r>
              <w:t xml:space="preserve"> </w:t>
            </w:r>
            <w:r>
              <w:t xml:space="preserve">coexistence</w:t>
            </w:r>
            <w:r>
              <w:t xml:space="preserve"> </w:t>
            </w:r>
            <w:r>
              <w:t xml:space="preserve">tested; policy</w:t>
            </w:r>
            <w:r>
              <w:t xml:space="preserve"> </w:t>
            </w:r>
            <w:r>
              <w:t xml:space="preserve">ownership</w:t>
            </w:r>
            <w:r>
              <w:t xml:space="preserve"> </w:t>
            </w:r>
            <w:r>
              <w:t xml:space="preserve">documented per</w:t>
            </w:r>
            <w:r>
              <w:t xml:space="preserve"> </w:t>
            </w:r>
            <w:r>
              <w:t xml:space="preserve">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 Inventory and</w:t>
            </w:r>
            <w:r>
              <w:t xml:space="preserve"> </w:t>
            </w:r>
            <w:r>
              <w:t xml:space="preserve">Rationalization</w:t>
            </w:r>
            <w:r>
              <w:t xml:space="preserve"> </w:t>
            </w:r>
            <w:r>
              <w:t xml:space="preserve">Report; Settings</w:t>
            </w:r>
            <w:r>
              <w:t xml:space="preserve"> </w:t>
            </w:r>
            <w:r>
              <w:t xml:space="preserve">Catalog Policy</w:t>
            </w:r>
            <w:r>
              <w:t xml:space="preserve"> </w:t>
            </w:r>
            <w:r>
              <w:t xml:space="preserve">Set; Proactive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Script Library;</w:t>
            </w:r>
            <w:r>
              <w:t xml:space="preserve"> </w:t>
            </w:r>
            <w:r>
              <w:t xml:space="preserve">Policy Ownership</w:t>
            </w:r>
            <w:r>
              <w:t xml:space="preserve"> </w:t>
            </w:r>
            <w:r>
              <w:t xml:space="preserve">Register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Modernization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3 complete;</w:t>
            </w:r>
            <w:r>
              <w:t xml:space="preserve"> </w:t>
            </w:r>
            <w:r>
              <w:t xml:space="preserve">Azure subscription</w:t>
            </w:r>
            <w:r>
              <w:t xml:space="preserve"> </w:t>
            </w:r>
            <w:r>
              <w:t xml:space="preserve">provisioned; Azure</w:t>
            </w:r>
            <w:r>
              <w:t xml:space="preserve"> </w:t>
            </w:r>
            <w:r>
              <w:t xml:space="preserve">Arc resource group</w:t>
            </w:r>
            <w:r>
              <w:t xml:space="preserve"> </w:t>
            </w:r>
            <w:r>
              <w:t xml:space="preserve">configured;</w:t>
            </w:r>
            <w:r>
              <w:t xml:space="preserve"> </w:t>
            </w:r>
            <w:r>
              <w:t xml:space="preserve">Connected Machine</w:t>
            </w:r>
            <w:r>
              <w:t xml:space="preserve"> </w:t>
            </w:r>
            <w:r>
              <w:t xml:space="preserve">Agent package</w:t>
            </w:r>
            <w:r>
              <w:t xml:space="preserve"> </w:t>
            </w:r>
            <w:r>
              <w:t xml:space="preserve">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</w:t>
            </w:r>
            <w:r>
              <w:t xml:space="preserve"> </w:t>
            </w:r>
            <w:r>
              <w:t xml:space="preserve">enrollment for</w:t>
            </w:r>
            <w:r>
              <w:t xml:space="preserve"> </w:t>
            </w:r>
            <w:r>
              <w:t xml:space="preserve">non-production</w:t>
            </w:r>
            <w:r>
              <w:t xml:space="preserve"> </w:t>
            </w:r>
            <w:r>
              <w:t xml:space="preserve">servers;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capability</w:t>
            </w:r>
            <w:r>
              <w:t xml:space="preserve"> </w:t>
            </w:r>
            <w:r>
              <w:t xml:space="preserve">validation;</w:t>
            </w:r>
            <w:r>
              <w:t xml:space="preserve"> </w:t>
            </w:r>
            <w:r>
              <w:t xml:space="preserve">production server</w:t>
            </w:r>
            <w:r>
              <w:t xml:space="preserve"> </w:t>
            </w:r>
            <w:r>
              <w:t xml:space="preserve">enrollment; Azure</w:t>
            </w:r>
            <w:r>
              <w:t xml:space="preserve"> </w:t>
            </w:r>
            <w:r>
              <w:t xml:space="preserve">Update Manager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activation; legacy</w:t>
            </w:r>
            <w:r>
              <w:t xml:space="preserve"> </w:t>
            </w:r>
            <w:r>
              <w:t xml:space="preserve">agent decommission</w:t>
            </w:r>
            <w:r>
              <w:t xml:space="preserve"> </w:t>
            </w:r>
            <w:r>
              <w:t xml:space="preserve">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target</w:t>
            </w:r>
            <w:r>
              <w:t xml:space="preserve"> </w:t>
            </w:r>
            <w:r>
              <w:t xml:space="preserve">servers</w:t>
            </w:r>
            <w:r>
              <w:t xml:space="preserve"> </w:t>
            </w:r>
            <w:r>
              <w:t xml:space="preserve">Arc-enrolled;</w:t>
            </w:r>
            <w:r>
              <w:t xml:space="preserve"> </w:t>
            </w:r>
            <w:r>
              <w:t xml:space="preserve">Azure Update</w:t>
            </w:r>
            <w:r>
              <w:t xml:space="preserve"> </w:t>
            </w:r>
            <w:r>
              <w:t xml:space="preserve">Manager</w:t>
            </w:r>
            <w:r>
              <w:t xml:space="preserve"> </w:t>
            </w:r>
            <w:r>
              <w:t xml:space="preserve">operational;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reporting</w:t>
            </w:r>
            <w:r>
              <w:t xml:space="preserve"> </w:t>
            </w:r>
            <w:r>
              <w:t xml:space="preserve">confirmed;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parity with</w:t>
            </w:r>
            <w:r>
              <w:t xml:space="preserve"> </w:t>
            </w:r>
            <w:r>
              <w:t xml:space="preserve">legacy tools</w:t>
            </w:r>
            <w:r>
              <w:t xml:space="preserve"> </w:t>
            </w:r>
            <w:r>
              <w:t xml:space="preserve">validated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Enrollment</w:t>
            </w:r>
            <w:r>
              <w:t xml:space="preserve"> </w:t>
            </w:r>
            <w:r>
              <w:t xml:space="preserve">Register; Azure</w:t>
            </w:r>
            <w:r>
              <w:t xml:space="preserve"> </w:t>
            </w:r>
            <w:r>
              <w:t xml:space="preserve">Update Manager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Baseline; Legacy</w:t>
            </w:r>
            <w:r>
              <w:t xml:space="preserve"> </w:t>
            </w:r>
            <w:r>
              <w:t xml:space="preserve">Agent</w:t>
            </w:r>
            <w:r>
              <w:t xml:space="preserve"> </w:t>
            </w:r>
            <w:r>
              <w:t xml:space="preserve">Decommission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 Baseline</w:t>
            </w:r>
            <w:r>
              <w:t xml:space="preserve"> </w:t>
            </w:r>
            <w:r>
              <w:t xml:space="preserve">Operationalization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Steps 1–5</w:t>
            </w:r>
            <w:r>
              <w:t xml:space="preserve"> </w:t>
            </w:r>
            <w:r>
              <w:t xml:space="preserve">substantially</w:t>
            </w:r>
            <w:r>
              <w:t xml:space="preserve"> </w:t>
            </w:r>
            <w:r>
              <w:t xml:space="preserve">complete; ScubaGear</w:t>
            </w:r>
            <w:r>
              <w:t xml:space="preserve"> </w:t>
            </w:r>
            <w:r>
              <w:t xml:space="preserve">module installed;</w:t>
            </w:r>
            <w:r>
              <w:t xml:space="preserve"> </w:t>
            </w:r>
            <w:r>
              <w:t xml:space="preserve">M365 API</w:t>
            </w:r>
            <w:r>
              <w:t xml:space="preserve"> </w:t>
            </w:r>
            <w:r>
              <w:t xml:space="preserve">permissions</w:t>
            </w:r>
            <w:r>
              <w:t xml:space="preserve"> </w:t>
            </w:r>
            <w:r>
              <w:t xml:space="preserve">granted; UIAO SCuBA</w:t>
            </w:r>
            <w:r>
              <w:t xml:space="preserve"> </w:t>
            </w:r>
            <w:r>
              <w:t xml:space="preserve">orchestration layer</w:t>
            </w:r>
            <w:r>
              <w:t xml:space="preserve"> </w:t>
            </w:r>
            <w:r>
              <w:t xml:space="preserve">configured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</w:t>
            </w:r>
            <w:r>
              <w:t xml:space="preserve"> </w:t>
            </w:r>
            <w:r>
              <w:t xml:space="preserve">deployment;</w:t>
            </w:r>
            <w:r>
              <w:t xml:space="preserve"> </w:t>
            </w:r>
            <w:r>
              <w:t xml:space="preserve">initial baseline</w:t>
            </w:r>
            <w:r>
              <w:t xml:space="preserve"> </w:t>
            </w:r>
            <w:r>
              <w:t xml:space="preserve">assessment across</w:t>
            </w:r>
            <w:r>
              <w:t xml:space="preserve"> </w:t>
            </w:r>
            <w:r>
              <w:t xml:space="preserve">all workloads;</w:t>
            </w:r>
            <w:r>
              <w:t xml:space="preserve"> </w:t>
            </w:r>
            <w:r>
              <w:t xml:space="preserve">canonical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definition; UIAO</w:t>
            </w:r>
            <w:r>
              <w:t xml:space="preserve"> </w:t>
            </w:r>
            <w:r>
              <w:t xml:space="preserve">SCuBA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integration; drift</w:t>
            </w:r>
            <w:r>
              <w:t xml:space="preserve"> </w:t>
            </w:r>
            <w:r>
              <w:t xml:space="preserve">detection</w:t>
            </w:r>
            <w:r>
              <w:t xml:space="preserve"> </w:t>
            </w:r>
            <w:r>
              <w:t xml:space="preserve">activation; SLA</w:t>
            </w:r>
            <w:r>
              <w:t xml:space="preserve"> </w:t>
            </w:r>
            <w:r>
              <w:t xml:space="preserve">heatmap</w:t>
            </w:r>
            <w:r>
              <w:t xml:space="preserve"> </w:t>
            </w: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complete for all</w:t>
            </w:r>
            <w:r>
              <w:t xml:space="preserve"> </w:t>
            </w:r>
            <w:r>
              <w:t xml:space="preserve">workloads;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</w:t>
            </w:r>
            <w:r>
              <w:t xml:space="preserve"> </w:t>
            </w:r>
            <w:r>
              <w:t xml:space="preserve">published to</w:t>
            </w:r>
            <w:r>
              <w:t xml:space="preserve"> </w:t>
            </w:r>
            <w:r>
              <w:t xml:space="preserve">canon/; UIAO</w:t>
            </w:r>
            <w:r>
              <w:t xml:space="preserve"> </w:t>
            </w:r>
            <w:r>
              <w:t xml:space="preserve">SCuBA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consuming</w:t>
            </w:r>
            <w:r>
              <w:t xml:space="preserve"> </w:t>
            </w:r>
            <w:r>
              <w:t xml:space="preserve">ScubaGear</w:t>
            </w:r>
            <w:r>
              <w:t xml:space="preserve"> </w:t>
            </w:r>
            <w:r>
              <w:t xml:space="preserve">outputs on</w:t>
            </w:r>
            <w:r>
              <w:t xml:space="preserve"> </w:t>
            </w:r>
            <w:r>
              <w:t xml:space="preserve">schedule; drift</w:t>
            </w:r>
            <w:r>
              <w:t xml:space="preserve"> </w:t>
            </w:r>
            <w:r>
              <w:t xml:space="preserve">detection</w:t>
            </w:r>
            <w:r>
              <w:t xml:space="preserve"> </w:t>
            </w:r>
            <w:r>
              <w:t xml:space="preserve">operational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 Baseline</w:t>
            </w:r>
            <w:r>
              <w:t xml:space="preserve"> </w:t>
            </w:r>
            <w:r>
              <w:t xml:space="preserve">Assessment Report</w:t>
            </w:r>
            <w:r>
              <w:t xml:space="preserve"> </w:t>
            </w:r>
            <w:r>
              <w:t xml:space="preserve">(all workloads);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</w:t>
            </w:r>
            <w:r>
              <w:t xml:space="preserve"> </w:t>
            </w:r>
            <w:r>
              <w:t xml:space="preserve">(canonical); UIAO</w:t>
            </w:r>
            <w:r>
              <w:t xml:space="preserve"> </w:t>
            </w:r>
            <w:r>
              <w:t xml:space="preserve">SCuBA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Drift Detection</w:t>
            </w:r>
            <w:r>
              <w:t xml:space="preserve"> </w:t>
            </w:r>
            <w:r>
              <w:t xml:space="preserve">Activation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 7 complete;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</w:t>
            </w:r>
            <w:r>
              <w:t xml:space="preserve"> </w:t>
            </w:r>
            <w:r>
              <w:t xml:space="preserve">published;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workflow defined;</w:t>
            </w:r>
            <w:r>
              <w:t xml:space="preserve"> </w:t>
            </w:r>
            <w:r>
              <w:t xml:space="preserve">owner</w:t>
            </w:r>
            <w:r>
              <w:t xml:space="preserve"> </w:t>
            </w:r>
            <w:r>
              <w:t xml:space="preserve">accountability</w:t>
            </w:r>
            <w:r>
              <w:t xml:space="preserve"> </w:t>
            </w:r>
            <w:r>
              <w:t xml:space="preserve">chains established</w:t>
            </w:r>
            <w:r>
              <w:t xml:space="preserve"> </w:t>
            </w:r>
            <w:r>
              <w:t xml:space="preserve">per 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engine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severity</w:t>
            </w:r>
            <w:r>
              <w:t xml:space="preserve"> </w:t>
            </w:r>
            <w:r>
              <w:t xml:space="preserve">classification</w:t>
            </w:r>
            <w:r>
              <w:t xml:space="preserve"> </w:t>
            </w:r>
            <w:r>
              <w:t xml:space="preserve">rules deployment;</w:t>
            </w:r>
            <w:r>
              <w:t xml:space="preserve"> </w:t>
            </w:r>
            <w:r>
              <w:t xml:space="preserve">SLA timer</w:t>
            </w:r>
            <w:r>
              <w:t xml:space="preserve"> </w:t>
            </w:r>
            <w:r>
              <w:t xml:space="preserve">integration;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workflow</w:t>
            </w:r>
            <w:r>
              <w:t xml:space="preserve"> </w:t>
            </w:r>
            <w:r>
              <w:t xml:space="preserve">activation;</w:t>
            </w:r>
            <w:r>
              <w:t xml:space="preserve"> </w:t>
            </w:r>
            <w:r>
              <w:t xml:space="preserve">escalation chain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recording</w:t>
            </w:r>
            <w:r>
              <w:t xml:space="preserve"> </w:t>
            </w: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drift</w:t>
            </w:r>
            <w:r>
              <w:t xml:space="preserve"> </w:t>
            </w:r>
            <w:r>
              <w:t xml:space="preserve">monitoring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across all</w:t>
            </w:r>
            <w:r>
              <w:t xml:space="preserve"> </w:t>
            </w:r>
            <w:r>
              <w:t xml:space="preserve">domains; SLA</w:t>
            </w:r>
            <w:r>
              <w:t xml:space="preserve"> </w:t>
            </w:r>
            <w:r>
              <w:t xml:space="preserve">timers enforced;</w:t>
            </w:r>
            <w:r>
              <w:t xml:space="preserve"> </w:t>
            </w:r>
            <w:r>
              <w:t xml:space="preserve">escalation</w:t>
            </w:r>
            <w:r>
              <w:t xml:space="preserve"> </w:t>
            </w:r>
            <w:r>
              <w:t xml:space="preserve">workflows</w:t>
            </w:r>
            <w:r>
              <w:t xml:space="preserve"> </w:t>
            </w:r>
            <w:r>
              <w:t xml:space="preserve">tested;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records</w:t>
            </w:r>
            <w:r>
              <w:t xml:space="preserve"> </w:t>
            </w:r>
            <w:r>
              <w:t xml:space="preserve">generated for</w:t>
            </w:r>
            <w:r>
              <w:t xml:space="preserve"> </w:t>
            </w:r>
            <w:r>
              <w:t xml:space="preserve">all drift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Engine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SLA Matrix</w:t>
            </w:r>
            <w:r>
              <w:t xml:space="preserve"> </w:t>
            </w:r>
            <w:r>
              <w:t xml:space="preserve">(operational);</w:t>
            </w:r>
            <w:r>
              <w:t xml:space="preserve"> </w:t>
            </w:r>
            <w:r>
              <w:t xml:space="preserve">Escalation Chain</w:t>
            </w:r>
            <w:r>
              <w:t xml:space="preserve"> </w:t>
            </w:r>
            <w:r>
              <w:t xml:space="preserve">Document;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Recording</w:t>
            </w:r>
            <w:r>
              <w:t xml:space="preserve"> </w:t>
            </w:r>
            <w:r>
              <w:t xml:space="preserve">Validation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Boundary 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 — no hard</w:t>
            </w:r>
            <w:r>
              <w:t xml:space="preserve"> </w:t>
            </w:r>
            <w:r>
              <w:t xml:space="preserve">prerequisite;</w:t>
            </w:r>
            <w:r>
              <w:t xml:space="preserve"> </w:t>
            </w:r>
            <w:r>
              <w:t xml:space="preserve">initiated at Phase</w:t>
            </w:r>
            <w:r>
              <w:t xml:space="preserve"> </w:t>
            </w:r>
            <w:r>
              <w:t xml:space="preserve">1 start and runs</w:t>
            </w:r>
            <w:r>
              <w:t xml:space="preserve"> </w:t>
            </w:r>
            <w:r>
              <w:t xml:space="preserve">continuously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Boundary</w:t>
            </w:r>
            <w:r>
              <w:t xml:space="preserve"> </w:t>
            </w:r>
            <w:r>
              <w:t xml:space="preserve">intersection</w:t>
            </w:r>
            <w:r>
              <w:t xml:space="preserve"> </w:t>
            </w:r>
            <w:r>
              <w:t xml:space="preserve">identification;</w:t>
            </w:r>
            <w:r>
              <w:t xml:space="preserve"> </w:t>
            </w:r>
            <w:r>
              <w:t xml:space="preserve">assessment of M365</w:t>
            </w:r>
            <w:r>
              <w:t xml:space="preserve"> </w:t>
            </w:r>
            <w:r>
              <w:t xml:space="preserve">GCC-Moderate and</w:t>
            </w:r>
            <w:r>
              <w:t xml:space="preserve"> </w:t>
            </w:r>
            <w:r>
              <w:t xml:space="preserve">Azure Commercial</w:t>
            </w:r>
            <w:r>
              <w:t xml:space="preserve"> </w:t>
            </w:r>
            <w:r>
              <w:t xml:space="preserve">interactions;</w:t>
            </w:r>
            <w:r>
              <w:t xml:space="preserve"> </w:t>
            </w:r>
            <w:r>
              <w:t xml:space="preserve">governance gap</w:t>
            </w:r>
            <w:r>
              <w:t xml:space="preserve"> </w:t>
            </w:r>
            <w:r>
              <w:t xml:space="preserve">analysis; boundary</w:t>
            </w:r>
            <w:r>
              <w:t xml:space="preserve"> </w:t>
            </w:r>
            <w:r>
              <w:t xml:space="preserve">documentation;</w:t>
            </w:r>
            <w:r>
              <w:t xml:space="preserve"> </w:t>
            </w:r>
            <w:r>
              <w:t xml:space="preserve">resolution pathway</w:t>
            </w:r>
            <w:r>
              <w:t xml:space="preserve"> </w:t>
            </w:r>
            <w:r>
              <w:t xml:space="preserve">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identified</w:t>
            </w:r>
            <w:r>
              <w:t xml:space="preserve"> </w:t>
            </w:r>
            <w:r>
              <w:t xml:space="preserve">boundary</w:t>
            </w:r>
            <w:r>
              <w:t xml:space="preserve"> </w:t>
            </w:r>
            <w:r>
              <w:t xml:space="preserve">intersections</w:t>
            </w:r>
            <w:r>
              <w:t xml:space="preserve"> </w:t>
            </w:r>
            <w:r>
              <w:t xml:space="preserve">documented with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status, owner,</w:t>
            </w:r>
            <w:r>
              <w:t xml:space="preserve"> </w:t>
            </w:r>
            <w:r>
              <w:t xml:space="preserve">and target</w:t>
            </w:r>
            <w:r>
              <w:t xml:space="preserve"> </w:t>
            </w:r>
            <w:r>
              <w:t xml:space="preserve">resolution date;</w:t>
            </w:r>
            <w:r>
              <w:t xml:space="preserve"> </w:t>
            </w:r>
            <w:r>
              <w:t xml:space="preserve">no unassessed</w:t>
            </w:r>
            <w:r>
              <w:t xml:space="preserve"> </w:t>
            </w:r>
            <w:r>
              <w:t xml:space="preserve">boundary gaps</w:t>
            </w:r>
            <w:r>
              <w:t xml:space="preserve"> </w:t>
            </w:r>
            <w:r>
              <w:t xml:space="preserve">remain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Boundary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Register;</w:t>
            </w:r>
            <w:r>
              <w:t xml:space="preserve"> </w:t>
            </w:r>
            <w:r>
              <w:t xml:space="preserve">Governance Gap</w:t>
            </w:r>
            <w:r>
              <w:t xml:space="preserve"> </w:t>
            </w:r>
            <w:r>
              <w:t xml:space="preserve">Analysis;</w:t>
            </w:r>
            <w:r>
              <w:t xml:space="preserve"> </w:t>
            </w:r>
            <w:r>
              <w:t xml:space="preserve">Boundary</w:t>
            </w:r>
            <w:r>
              <w:t xml:space="preserve"> </w:t>
            </w:r>
            <w:r>
              <w:t xml:space="preserve">Resolution</w:t>
            </w:r>
            <w:r>
              <w:t xml:space="preserve"> </w:t>
            </w:r>
            <w:r>
              <w:t xml:space="preserve">Roadmap (draft)</w:t>
            </w:r>
          </w:p>
        </w:tc>
      </w:tr>
    </w:tbl>
    <w:p>
      <w:pPr>
        <w:pStyle w:val="BodyText"/>
      </w:pPr>
      <w:r>
        <w:t xml:space="preserve">This sequence is not strictly linear.</w:t>
      </w:r>
      <w:r>
        <w:t xml:space="preserve"> </w:t>
      </w:r>
      <w:r>
        <w:rPr>
          <w:b/>
          <w:bCs/>
        </w:rPr>
        <w:t xml:space="preserve">Steps 1–3 are 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prerequisites</w:t>
      </w:r>
      <w:r>
        <w:t xml:space="preserve"> </w:t>
      </w:r>
      <w:r>
        <w:t xml:space="preserve">— each must be completed before the next begins, as</w:t>
      </w:r>
      <w:r>
        <w:t xml:space="preserve"> </w:t>
      </w:r>
      <w:r>
        <w:t xml:space="preserve">OrgPath establishment depends on identity hygiene, and device OrgPath</w:t>
      </w:r>
      <w:r>
        <w:t xml:space="preserve"> </w:t>
      </w:r>
      <w:r>
        <w:t xml:space="preserve">depends on user OrgPath. However,</w:t>
      </w:r>
      <w:r>
        <w:t xml:space="preserve"> </w:t>
      </w:r>
      <w:r>
        <w:rPr>
          <w:b/>
          <w:bCs/>
        </w:rPr>
        <w:t xml:space="preserve">Steps 4–6 may execute in parallel</w:t>
      </w:r>
      <w:r>
        <w:t xml:space="preserve"> </w:t>
      </w:r>
      <w:r>
        <w:t xml:space="preserve">once OrgPath (Steps 1–3) is established, as device identity</w:t>
      </w:r>
      <w:r>
        <w:t xml:space="preserve"> </w:t>
      </w:r>
      <w:r>
        <w:t xml:space="preserve">modernization, policy conversion, and server modernization are</w:t>
      </w:r>
      <w:r>
        <w:t xml:space="preserve"> </w:t>
      </w:r>
      <w:r>
        <w:t xml:space="preserve">independent work streams that share OrgPath as a common dependency.</w:t>
      </w:r>
      <w:r>
        <w:t xml:space="preserve"> </w:t>
      </w:r>
      <w:r>
        <w:rPr>
          <w:b/>
          <w:bCs/>
        </w:rPr>
        <w:t xml:space="preserve">Steps 7–8 activate</w:t>
      </w:r>
      <w:r>
        <w:t xml:space="preserve"> </w:t>
      </w:r>
      <w:r>
        <w:t xml:space="preserve">once sufficient policy conversion (Step 5) is</w:t>
      </w:r>
      <w:r>
        <w:t xml:space="preserve"> </w:t>
      </w:r>
      <w:r>
        <w:t xml:space="preserve">complete, as SCuBA baseline operationalization and drift detection</w:t>
      </w:r>
      <w:r>
        <w:t xml:space="preserve"> </w:t>
      </w:r>
      <w:r>
        <w:t xml:space="preserve">require policies to be in their target state for meaningful assessment.</w:t>
      </w:r>
      <w:r>
        <w:t xml:space="preserve"> </w:t>
      </w:r>
      <w:r>
        <w:rPr>
          <w:b/>
          <w:bCs/>
        </w:rPr>
        <w:t xml:space="preserve">Step 9 (Boundary Alignment) runs as a continuous background</w:t>
      </w:r>
      <w:r>
        <w:rPr>
          <w:b/>
          <w:bCs/>
        </w:rPr>
        <w:t xml:space="preserve"> </w:t>
      </w:r>
      <w:r>
        <w:rPr>
          <w:b/>
          <w:bCs/>
        </w:rPr>
        <w:t xml:space="preserve">assessment</w:t>
      </w:r>
      <w:r>
        <w:t xml:space="preserve"> </w:t>
      </w:r>
      <w:r>
        <w:t xml:space="preserve">throughout Phase 1, producing interim deliverables as</w:t>
      </w:r>
      <w:r>
        <w:t xml:space="preserve"> </w:t>
      </w:r>
      <w:r>
        <w:t xml:space="preserve">boundary intersections are identified and assessed.</w:t>
      </w:r>
    </w:p>
    <w:bookmarkEnd w:id="10"/>
    <w:bookmarkEnd w:id="11"/>
    <w:bookmarkStart w:id="18" w:name="section-3-identity-modernization"/>
    <w:p>
      <w:pPr>
        <w:pStyle w:val="Heading1"/>
      </w:pPr>
      <w:r>
        <w:t xml:space="preserve">Section 3: Identity Modernization</w:t>
      </w:r>
    </w:p>
    <w:p>
      <w:pPr>
        <w:pStyle w:val="FirstParagraph"/>
      </w:pPr>
      <w:r>
        <w:t xml:space="preserve">Identity modernization is the foundational prerequisite for all</w:t>
      </w:r>
      <w:r>
        <w:t xml:space="preserve"> </w:t>
      </w:r>
      <w:r>
        <w:t xml:space="preserve">subsequent Phase 1 work. No device identity transition, policy</w:t>
      </w:r>
      <w:r>
        <w:t xml:space="preserve"> </w:t>
      </w:r>
      <w:r>
        <w:t xml:space="preserve">conversion, or governance scoping can proceed reliably until the</w:t>
      </w:r>
      <w:r>
        <w:t xml:space="preserve"> </w:t>
      </w:r>
      <w:r>
        <w:t xml:space="preserve">identity layer is clean, modern, and governed. This section defines the</w:t>
      </w:r>
      <w:r>
        <w:t xml:space="preserve"> </w:t>
      </w:r>
      <w:r>
        <w:t xml:space="preserve">identity modernization mechanics that must be executed and validated</w:t>
      </w:r>
      <w:r>
        <w:t xml:space="preserve"> </w:t>
      </w:r>
      <w:r>
        <w:t xml:space="preserve">before OrgPath establishment (Section 4) can begin.</w:t>
      </w:r>
    </w:p>
    <w:bookmarkStart w:id="12" w:name="entra-id-user-lifecycle-hygiene"/>
    <w:p>
      <w:pPr>
        <w:pStyle w:val="Heading2"/>
      </w:pPr>
      <w:r>
        <w:t xml:space="preserve">3.1 Entra ID User Lifecycle Hygiene</w:t>
      </w:r>
    </w:p>
    <w:p>
      <w:pPr>
        <w:pStyle w:val="FirstParagraph"/>
      </w:pPr>
      <w:r>
        <w:rPr>
          <w:b/>
          <w:bCs/>
        </w:rPr>
        <w:t xml:space="preserve">Entra ID user lifecycle hygiene</w:t>
      </w:r>
      <w:r>
        <w:t xml:space="preserve"> </w:t>
      </w:r>
      <w:r>
        <w:t xml:space="preserve">ensures that every user object in</w:t>
      </w:r>
      <w:r>
        <w:t xml:space="preserve"> </w:t>
      </w:r>
      <w:r>
        <w:t xml:space="preserve">the tenant is properly synchronized, actively governed, and accurately</w:t>
      </w:r>
      <w:r>
        <w:t xml:space="preserve"> </w:t>
      </w:r>
      <w:r>
        <w:t xml:space="preserve">attributed. The hygiene assessment identifies and remediates: orphaned</w:t>
      </w:r>
      <w:r>
        <w:t xml:space="preserve"> </w:t>
      </w:r>
      <w:r>
        <w:t xml:space="preserve">accounts (user objects with no active owner or business justification),</w:t>
      </w:r>
      <w:r>
        <w:t xml:space="preserve"> </w:t>
      </w:r>
      <w:r>
        <w:t xml:space="preserve">stale accounts (accounts that have not authenticated within a defined</w:t>
      </w:r>
      <w:r>
        <w:t xml:space="preserve"> </w:t>
      </w:r>
      <w:r>
        <w:t xml:space="preserve">inactivity threshold), synchronization errors (directory sync failures</w:t>
      </w:r>
      <w:r>
        <w:t xml:space="preserve"> </w:t>
      </w:r>
      <w:r>
        <w:t xml:space="preserve">that leave objects in an inconsistent state), duplicate objects</w:t>
      </w:r>
      <w:r>
        <w:t xml:space="preserve"> </w:t>
      </w:r>
      <w:r>
        <w:t xml:space="preserve">(multiple user objects representing the same identity), and attribute</w:t>
      </w:r>
      <w:r>
        <w:t xml:space="preserve"> </w:t>
      </w:r>
      <w:r>
        <w:t xml:space="preserve">inconsistencies (missing or incorrect department, location, or cost</w:t>
      </w:r>
      <w:r>
        <w:t xml:space="preserve"> </w:t>
      </w:r>
      <w:r>
        <w:t xml:space="preserve">center values that will impair OrgPath dynamic membership rules).</w:t>
      </w:r>
    </w:p>
    <w:bookmarkEnd w:id="12"/>
    <w:bookmarkStart w:id="13" w:name="mfa-enforcement"/>
    <w:p>
      <w:pPr>
        <w:pStyle w:val="Heading2"/>
      </w:pPr>
      <w:r>
        <w:t xml:space="preserve">3.2 MFA Enforcement</w:t>
      </w:r>
    </w:p>
    <w:p>
      <w:pPr>
        <w:pStyle w:val="FirstParagraph"/>
      </w:pPr>
      <w:r>
        <w:rPr>
          <w:b/>
          <w:bCs/>
        </w:rPr>
        <w:t xml:space="preserve">Multi-Factor Authentication (MFA) enforcement</w:t>
      </w:r>
      <w:r>
        <w:t xml:space="preserve"> </w:t>
      </w:r>
      <w:r>
        <w:t xml:space="preserve">must transition from</w:t>
      </w:r>
      <w:r>
        <w:t xml:space="preserve"> </w:t>
      </w:r>
      <w:r>
        <w:t xml:space="preserve">legacy enforcement methods to</w:t>
      </w:r>
      <w:r>
        <w:t xml:space="preserve"> </w:t>
      </w:r>
      <w:r>
        <w:rPr>
          <w:b/>
          <w:bCs/>
        </w:rPr>
        <w:t xml:space="preserve">Conditional Access-driven MFA</w:t>
      </w:r>
      <w:r>
        <w:t xml:space="preserve">. Legacy</w:t>
      </w:r>
      <w:r>
        <w:t xml:space="preserve"> </w:t>
      </w:r>
      <w:r>
        <w:t xml:space="preserve">MFA patterns include per-user MFA (enabled/enforced directly on the user</w:t>
      </w:r>
      <w:r>
        <w:t xml:space="preserve"> </w:t>
      </w:r>
      <w:r>
        <w:t xml:space="preserve">object), NPS Extension-based MFA for VPN and RADIUS authentication, and</w:t>
      </w:r>
      <w:r>
        <w:t xml:space="preserve"> </w:t>
      </w:r>
      <w:r>
        <w:t xml:space="preserve">Azure MFA Server (on-premises). The target state is Conditional Access</w:t>
      </w:r>
      <w:r>
        <w:t xml:space="preserve"> </w:t>
      </w:r>
      <w:r>
        <w:t xml:space="preserve">policies that enforce MFA based on risk signals, application</w:t>
      </w:r>
      <w:r>
        <w:t xml:space="preserve"> </w:t>
      </w:r>
      <w:r>
        <w:t xml:space="preserve">sensitivity, network location, and device compliance — not as a</w:t>
      </w:r>
      <w:r>
        <w:t xml:space="preserve"> </w:t>
      </w:r>
      <w:r>
        <w:t xml:space="preserve">blanket per-user toggle. Legacy per-user MFA must be disabled for all</w:t>
      </w:r>
      <w:r>
        <w:t xml:space="preserve"> </w:t>
      </w:r>
      <w:r>
        <w:t xml:space="preserve">users once Conditional Access MFA policies are validated and</w:t>
      </w:r>
      <w:r>
        <w:t xml:space="preserve"> </w:t>
      </w:r>
      <w:r>
        <w:t xml:space="preserve">operational.</w:t>
      </w:r>
    </w:p>
    <w:bookmarkEnd w:id="13"/>
    <w:bookmarkStart w:id="14" w:name="passwordless-readiness"/>
    <w:p>
      <w:pPr>
        <w:pStyle w:val="Heading2"/>
      </w:pPr>
      <w:r>
        <w:t xml:space="preserve">3.3 Passwordless Readiness</w:t>
      </w:r>
    </w:p>
    <w:p>
      <w:pPr>
        <w:pStyle w:val="FirstParagraph"/>
      </w:pPr>
      <w:r>
        <w:rPr>
          <w:b/>
          <w:bCs/>
        </w:rPr>
        <w:t xml:space="preserve">Passwordless readiness</w:t>
      </w:r>
      <w:r>
        <w:t xml:space="preserve"> </w:t>
      </w:r>
      <w:r>
        <w:t xml:space="preserve">assesses the organization's capability to</w:t>
      </w:r>
      <w:r>
        <w:t xml:space="preserve"> </w:t>
      </w:r>
      <w:r>
        <w:t xml:space="preserve">adopt passwordless authentication methods. The three primary</w:t>
      </w:r>
      <w:r>
        <w:t xml:space="preserve"> </w:t>
      </w:r>
      <w:r>
        <w:t xml:space="preserve">passwordless methods supported in Microsoft Entra ID are:</w:t>
      </w:r>
      <w:r>
        <w:t xml:space="preserve"> </w:t>
      </w:r>
      <w:r>
        <w:rPr>
          <w:b/>
          <w:bCs/>
        </w:rPr>
        <w:t xml:space="preserve">Windows</w:t>
      </w:r>
      <w:r>
        <w:rPr>
          <w:b/>
          <w:bCs/>
        </w:rPr>
        <w:t xml:space="preserve"> </w:t>
      </w:r>
      <w:r>
        <w:rPr>
          <w:b/>
          <w:bCs/>
        </w:rPr>
        <w:t xml:space="preserve">Hello for Business</w:t>
      </w:r>
      <w:r>
        <w:t xml:space="preserve"> </w:t>
      </w:r>
      <w:r>
        <w:t xml:space="preserve">(biometric or PIN-based, device-bound credential),</w:t>
      </w:r>
      <w:r>
        <w:t xml:space="preserve"> </w:t>
      </w:r>
      <w:r>
        <w:rPr>
          <w:b/>
          <w:bCs/>
        </w:rPr>
        <w:t xml:space="preserve">FIDO2 security keys</w:t>
      </w:r>
      <w:r>
        <w:t xml:space="preserve"> </w:t>
      </w:r>
      <w:r>
        <w:t xml:space="preserve">(hardware-based, phishing-resistant, portable</w:t>
      </w:r>
      <w:r>
        <w:t xml:space="preserve"> </w:t>
      </w:r>
      <w:r>
        <w:t xml:space="preserve">credential), and</w:t>
      </w:r>
      <w:r>
        <w:t xml:space="preserve"> </w:t>
      </w:r>
      <w:r>
        <w:rPr>
          <w:b/>
          <w:bCs/>
        </w:rPr>
        <w:t xml:space="preserve">Microsoft Authenticator passwordless sign-in</w:t>
      </w:r>
      <w:r>
        <w:t xml:space="preserve"> </w:t>
      </w:r>
      <w:r>
        <w:t xml:space="preserve">(phone-based, number-matching). Readiness assessment covers hardware</w:t>
      </w:r>
      <w:r>
        <w:t xml:space="preserve"> </w:t>
      </w:r>
      <w:r>
        <w:t xml:space="preserve">compatibility (TPM 2.0 for WHfB, USB/NFC support for FIDO2), user</w:t>
      </w:r>
      <w:r>
        <w:t xml:space="preserve"> </w:t>
      </w:r>
      <w:r>
        <w:t xml:space="preserve">training requirements, helpdesk impact, and rollback procedures.</w:t>
      </w:r>
    </w:p>
    <w:bookmarkEnd w:id="14"/>
    <w:bookmarkStart w:id="15" w:name="service-account-modernization"/>
    <w:p>
      <w:pPr>
        <w:pStyle w:val="Heading2"/>
      </w:pPr>
      <w:r>
        <w:t xml:space="preserve">3.4 Service Account Modernization</w:t>
      </w:r>
    </w:p>
    <w:p>
      <w:pPr>
        <w:pStyle w:val="FirstParagraph"/>
      </w:pPr>
      <w:r>
        <w:rPr>
          <w:b/>
          <w:bCs/>
        </w:rPr>
        <w:t xml:space="preserve">Service account modernization</w:t>
      </w:r>
      <w:r>
        <w:t xml:space="preserve"> </w:t>
      </w:r>
      <w:r>
        <w:t xml:space="preserve">identifies all service accounts,</w:t>
      </w:r>
      <w:r>
        <w:t xml:space="preserve"> </w:t>
      </w:r>
      <w:r>
        <w:t xml:space="preserve">shared mailboxes, and non-person entities that authenticate to M365</w:t>
      </w:r>
      <w:r>
        <w:t xml:space="preserve"> </w:t>
      </w:r>
      <w:r>
        <w:t xml:space="preserve">services and transitions them to modern identity patterns. Where</w:t>
      </w:r>
      <w:r>
        <w:t xml:space="preserve"> </w:t>
      </w:r>
      <w:r>
        <w:t xml:space="preserve">applicable, service accounts should be replaced with</w:t>
      </w:r>
      <w:r>
        <w:t xml:space="preserve"> </w:t>
      </w:r>
      <w:r>
        <w:rPr>
          <w:b/>
          <w:bCs/>
        </w:rPr>
        <w:t xml:space="preserve">Managed</w:t>
      </w:r>
      <w:r>
        <w:rPr>
          <w:b/>
          <w:bCs/>
        </w:rPr>
        <w:t xml:space="preserve"> </w:t>
      </w:r>
      <w:r>
        <w:rPr>
          <w:b/>
          <w:bCs/>
        </w:rPr>
        <w:t xml:space="preserve">Identities</w:t>
      </w:r>
      <w:r>
        <w:t xml:space="preserve"> </w:t>
      </w:r>
      <w:r>
        <w:t xml:space="preserve">(for Azure-hosted workloads) or</w:t>
      </w:r>
      <w:r>
        <w:t xml:space="preserve"> </w:t>
      </w:r>
      <w:r>
        <w:rPr>
          <w:b/>
          <w:bCs/>
        </w:rPr>
        <w:t xml:space="preserve">workload identity</w:t>
      </w:r>
      <w:r>
        <w:rPr>
          <w:b/>
          <w:bCs/>
        </w:rPr>
        <w:t xml:space="preserve"> </w:t>
      </w:r>
      <w:r>
        <w:rPr>
          <w:b/>
          <w:bCs/>
        </w:rPr>
        <w:t xml:space="preserve">federation</w:t>
      </w:r>
      <w:r>
        <w:t xml:space="preserve"> </w:t>
      </w:r>
      <w:r>
        <w:t xml:space="preserve">(for external services). Service accounts that cannot be</w:t>
      </w:r>
      <w:r>
        <w:t xml:space="preserve"> </w:t>
      </w:r>
      <w:r>
        <w:t xml:space="preserve">modernized must be documented, governed with strict Conditional Access</w:t>
      </w:r>
      <w:r>
        <w:t xml:space="preserve"> </w:t>
      </w:r>
      <w:r>
        <w:t xml:space="preserve">policies, and registered in the Service Account Register with defined</w:t>
      </w:r>
      <w:r>
        <w:t xml:space="preserve"> </w:t>
      </w:r>
      <w:r>
        <w:t xml:space="preserve">ownership and review cadence.</w:t>
      </w:r>
    </w:p>
    <w:bookmarkEnd w:id="15"/>
    <w:bookmarkStart w:id="16" w:name="authentication-method-registration"/>
    <w:p>
      <w:pPr>
        <w:pStyle w:val="Heading2"/>
      </w:pPr>
      <w:r>
        <w:t xml:space="preserve">3.5 Authentication Method Registration</w:t>
      </w:r>
    </w:p>
    <w:p>
      <w:pPr>
        <w:pStyle w:val="FirstParagraph"/>
      </w:pPr>
      <w:r>
        <w:rPr>
          <w:b/>
          <w:bCs/>
        </w:rPr>
        <w:t xml:space="preserve">Authentication method registration</w:t>
      </w:r>
      <w:r>
        <w:t xml:space="preserve"> </w:t>
      </w:r>
      <w:r>
        <w:t xml:space="preserve">enforcement ensures that all</w:t>
      </w:r>
      <w:r>
        <w:t xml:space="preserve"> </w:t>
      </w:r>
      <w:r>
        <w:t xml:space="preserve">users have registered at least two modern authentication methods before</w:t>
      </w:r>
      <w:r>
        <w:t xml:space="preserve"> </w:t>
      </w:r>
      <w:r>
        <w:t xml:space="preserve">policy enforcement gates close. The</w:t>
      </w:r>
      <w:r>
        <w:t xml:space="preserve"> </w:t>
      </w:r>
      <w:r>
        <w:rPr>
          <w:b/>
          <w:bCs/>
        </w:rPr>
        <w:t xml:space="preserve">Authentication Methods</w:t>
      </w:r>
      <w:r>
        <w:rPr>
          <w:b/>
          <w:bCs/>
        </w:rPr>
        <w:t xml:space="preserve"> </w:t>
      </w:r>
      <w:r>
        <w:rPr>
          <w:b/>
          <w:bCs/>
        </w:rPr>
        <w:t xml:space="preserve">Registration Campaign</w:t>
      </w:r>
      <w:r>
        <w:t xml:space="preserve"> </w:t>
      </w:r>
      <w:r>
        <w:t xml:space="preserve">feature in Entra ID can prompt users to register</w:t>
      </w:r>
      <w:r>
        <w:t xml:space="preserve"> </w:t>
      </w:r>
      <w:r>
        <w:t xml:space="preserve">additional methods. Registration completeness is a gate criterion for</w:t>
      </w:r>
      <w:r>
        <w:t xml:space="preserve"> </w:t>
      </w:r>
      <w:r>
        <w:t xml:space="preserve">Step 1 — identity modernization cannot be marked complete until</w:t>
      </w:r>
      <w:r>
        <w:t xml:space="preserve"> </w:t>
      </w:r>
      <w:r>
        <w:t xml:space="preserve">registration targets are met.</w:t>
      </w:r>
    </w:p>
    <w:bookmarkEnd w:id="16"/>
    <w:bookmarkStart w:id="17" w:name="table-2-identity-modernization-checklist"/>
    <w:p>
      <w:pPr>
        <w:pStyle w:val="Heading2"/>
      </w:pPr>
      <w:r>
        <w:t xml:space="preserve">Table 2: Identity Modernization Checklist</w:t>
      </w:r>
    </w:p>
    <w:tbl>
      <w:tblPr>
        <w:tblStyle w:val="Table"/>
        <w:tblW w:type="pct" w:w="4894"/>
        <w:tblLayout w:type="fixed"/>
        <w:tblLook w:firstRow="1" w:lastRow="0" w:firstColumn="0" w:lastColumn="0" w:noHBand="0" w:noVBand="0" w:val="0020"/>
      </w:tblPr>
      <w:tblGrid>
        <w:gridCol w:w="1516"/>
        <w:gridCol w:w="1600"/>
        <w:gridCol w:w="1853"/>
        <w:gridCol w:w="1516"/>
        <w:gridCol w:w="126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Current State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 State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Orphaned account</w:t>
            </w:r>
            <w:r>
              <w:t xml:space="preserve"> </w:t>
            </w:r>
            <w: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count of</w:t>
            </w:r>
            <w:r>
              <w:t xml:space="preserve"> </w:t>
            </w:r>
            <w:r>
              <w:t xml:space="preserve">orphaned objects,</w:t>
            </w:r>
            <w:r>
              <w:t xml:space="preserve"> </w:t>
            </w:r>
            <w:r>
              <w:t xml:space="preserve">last sign-in date</w:t>
            </w:r>
            <w:r>
              <w:t xml:space="preserve"> </w:t>
            </w:r>
            <w:r>
              <w:t xml:space="preserve">analysis]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orphaned</w:t>
            </w:r>
            <w:r>
              <w:t xml:space="preserve"> </w:t>
            </w:r>
            <w:r>
              <w:t xml:space="preserve">accounts; all objects</w:t>
            </w:r>
            <w:r>
              <w:t xml:space="preserve"> </w:t>
            </w:r>
            <w:r>
              <w:t xml:space="preserve">have documented</w:t>
            </w:r>
            <w:r>
              <w:t xml:space="preserve"> </w:t>
            </w:r>
            <w:r>
              <w:t xml:space="preserve">ownership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Directory sync</w:t>
            </w:r>
            <w:r>
              <w:t xml:space="preserve"> </w:t>
            </w:r>
            <w:r>
              <w:t xml:space="preserve">health; HR data</w:t>
            </w:r>
            <w:r>
              <w:t xml:space="preserve"> </w:t>
            </w:r>
            <w:r>
              <w:t xml:space="preserve">feed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Stale account</w:t>
            </w:r>
            <w:r>
              <w:t xml:space="preserve"> </w:t>
            </w:r>
            <w:r>
              <w:t xml:space="preserve">identification</w:t>
            </w:r>
            <w:r>
              <w:t xml:space="preserve"> </w:t>
            </w:r>
            <w:r>
              <w:t xml:space="preserve">and disable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accounts</w:t>
            </w:r>
            <w:r>
              <w:t xml:space="preserve"> </w:t>
            </w:r>
            <w:r>
              <w:t xml:space="preserve">with no sign-in</w:t>
            </w:r>
            <w:r>
              <w:t xml:space="preserve"> </w:t>
            </w:r>
            <w:r>
              <w:t xml:space="preserve">within 90 days]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Stale accounts</w:t>
            </w:r>
            <w:r>
              <w:t xml:space="preserve"> </w:t>
            </w:r>
            <w:r>
              <w:t xml:space="preserve">disabled or</w:t>
            </w:r>
            <w:r>
              <w:t xml:space="preserve"> </w:t>
            </w:r>
            <w:r>
              <w:t xml:space="preserve">justified; review</w:t>
            </w:r>
            <w:r>
              <w:t xml:space="preserve"> </w:t>
            </w:r>
            <w:r>
              <w:t xml:space="preserve">cadence established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Sign-in log</w:t>
            </w:r>
            <w:r>
              <w:t xml:space="preserve"> </w:t>
            </w:r>
            <w:r>
              <w:t xml:space="preserve">retention;</w:t>
            </w:r>
            <w:r>
              <w:t xml:space="preserve"> </w:t>
            </w:r>
            <w:r>
              <w:t xml:space="preserve">business</w:t>
            </w:r>
            <w:r>
              <w:t xml:space="preserve"> </w:t>
            </w:r>
            <w:r>
              <w:t xml:space="preserve">justification</w:t>
            </w:r>
            <w:r>
              <w:t xml:space="preserve"> </w:t>
            </w: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MFA —</w:t>
            </w:r>
            <w:r>
              <w:t xml:space="preserve"> </w:t>
            </w:r>
            <w:r>
              <w:t xml:space="preserve">Conditional</w:t>
            </w:r>
            <w:r>
              <w:t xml:space="preserve"> </w:t>
            </w:r>
            <w:r>
              <w:t xml:space="preserve">Access 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per-user</w:t>
            </w:r>
            <w:r>
              <w:t xml:space="preserve"> </w:t>
            </w:r>
            <w:r>
              <w:t xml:space="preserve">MFA count; NPS</w:t>
            </w:r>
            <w:r>
              <w:t xml:space="preserve"> </w:t>
            </w:r>
            <w:r>
              <w:t xml:space="preserve">Extension usage;</w:t>
            </w:r>
            <w:r>
              <w:t xml:space="preserve"> </w:t>
            </w:r>
            <w:r>
              <w:t xml:space="preserve">legacy MFA Server</w:t>
            </w:r>
            <w:r>
              <w:t xml:space="preserve"> </w:t>
            </w:r>
            <w:r>
              <w:t xml:space="preserve">status]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MFA enforcement</w:t>
            </w:r>
            <w:r>
              <w:t xml:space="preserve"> </w:t>
            </w:r>
            <w:r>
              <w:t xml:space="preserve">via Conditional</w:t>
            </w:r>
            <w:r>
              <w:t xml:space="preserve"> </w:t>
            </w:r>
            <w:r>
              <w:t xml:space="preserve">Access; per-user MFA</w:t>
            </w:r>
            <w:r>
              <w:t xml:space="preserve"> </w:t>
            </w:r>
            <w:r>
              <w:t xml:space="preserve">disabled; legacy MFA</w:t>
            </w:r>
            <w:r>
              <w:t xml:space="preserve"> </w:t>
            </w:r>
            <w:r>
              <w:t xml:space="preserve">Server decommissioned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</w:t>
            </w:r>
            <w:r>
              <w:t xml:space="preserve"> </w:t>
            </w:r>
            <w:r>
              <w:t xml:space="preserve">Access policy</w:t>
            </w:r>
            <w:r>
              <w:t xml:space="preserve"> </w:t>
            </w:r>
            <w:r>
              <w:t xml:space="preserve">design; Entra ID</w:t>
            </w:r>
            <w:r>
              <w:t xml:space="preserve"> </w:t>
            </w:r>
            <w:r>
              <w:t xml:space="preserve">P1 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</w:t>
            </w:r>
            <w:r>
              <w:t xml:space="preserve"> </w:t>
            </w:r>
            <w:r>
              <w:t xml:space="preserve">method</w:t>
            </w:r>
            <w:r>
              <w:t xml:space="preserve"> </w:t>
            </w:r>
            <w:r>
              <w:t xml:space="preserve">registration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</w:t>
            </w:r>
            <w:r>
              <w:t xml:space="preserve"> </w:t>
            </w:r>
            <w:r>
              <w:t xml:space="preserve">percentage of</w:t>
            </w:r>
            <w:r>
              <w:t xml:space="preserve"> </w:t>
            </w:r>
            <w:r>
              <w:t xml:space="preserve">users with ≥2</w:t>
            </w:r>
            <w:r>
              <w:t xml:space="preserve"> </w:t>
            </w:r>
            <w:r>
              <w:t xml:space="preserve">modern methods</w:t>
            </w:r>
            <w:r>
              <w:t xml:space="preserve"> </w:t>
            </w:r>
            <w:r>
              <w:t xml:space="preserve">registered]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active users</w:t>
            </w:r>
            <w:r>
              <w:t xml:space="preserve"> </w:t>
            </w:r>
            <w:r>
              <w:t xml:space="preserve">registered with ≥2</w:t>
            </w:r>
            <w:r>
              <w:t xml:space="preserve"> </w:t>
            </w:r>
            <w:r>
              <w:t xml:space="preserve">modern authentication</w:t>
            </w:r>
            <w:r>
              <w:t xml:space="preserve"> </w:t>
            </w:r>
            <w:r>
              <w:t xml:space="preserve">methods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Registration</w:t>
            </w:r>
            <w:r>
              <w:t xml:space="preserve"> </w:t>
            </w:r>
            <w:r>
              <w:t xml:space="preserve">campaign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user</w:t>
            </w:r>
            <w:r>
              <w:t xml:space="preserve"> </w:t>
            </w:r>
            <w:r>
              <w:t xml:space="preserve">communication</w:t>
            </w:r>
            <w:r>
              <w:t xml:space="preserve"> </w:t>
            </w:r>
            <w:r>
              <w:t xml:space="preserve">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Passwordless</w:t>
            </w:r>
            <w:r>
              <w:t xml:space="preserve"> </w:t>
            </w:r>
            <w:r>
              <w:t xml:space="preserve">readiness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device</w:t>
            </w:r>
            <w:r>
              <w:t xml:space="preserve"> </w:t>
            </w:r>
            <w:r>
              <w:t xml:space="preserve">TPM 2.0 inventory;</w:t>
            </w:r>
            <w:r>
              <w:t xml:space="preserve"> </w:t>
            </w:r>
            <w:r>
              <w:t xml:space="preserve">FIDO2 hardware</w:t>
            </w:r>
            <w:r>
              <w:t xml:space="preserve"> </w:t>
            </w:r>
            <w:r>
              <w:t xml:space="preserve">procurement</w:t>
            </w:r>
            <w:r>
              <w:t xml:space="preserve"> </w:t>
            </w:r>
            <w:r>
              <w:t xml:space="preserve">status; pilot</w:t>
            </w:r>
            <w:r>
              <w:t xml:space="preserve"> </w:t>
            </w:r>
            <w:r>
              <w:t xml:space="preserve">group</w:t>
            </w:r>
            <w:r>
              <w:t xml:space="preserve"> </w:t>
            </w:r>
            <w:r>
              <w:t xml:space="preserve">identification]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Readiness report</w:t>
            </w:r>
            <w:r>
              <w:t xml:space="preserve"> </w:t>
            </w:r>
            <w:r>
              <w:t xml:space="preserve">published; pilot</w:t>
            </w:r>
            <w:r>
              <w:t xml:space="preserve"> </w:t>
            </w:r>
            <w:r>
              <w:t xml:space="preserve">group identified;</w:t>
            </w:r>
            <w:r>
              <w:t xml:space="preserve"> </w:t>
            </w:r>
            <w:r>
              <w:t xml:space="preserve">hardware procurement</w:t>
            </w:r>
            <w:r>
              <w:t xml:space="preserve"> </w:t>
            </w:r>
            <w:r>
              <w:t xml:space="preserve">initiated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inventory</w:t>
            </w:r>
            <w:r>
              <w:t xml:space="preserve"> </w:t>
            </w:r>
            <w:r>
              <w:t xml:space="preserve">(TPM status);</w:t>
            </w:r>
            <w:r>
              <w:t xml:space="preserve"> </w:t>
            </w:r>
            <w:r>
              <w:t xml:space="preserve">budget approval</w:t>
            </w:r>
            <w:r>
              <w:t xml:space="preserve"> </w:t>
            </w:r>
            <w:r>
              <w:t xml:space="preserve">for FIDO2 keys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 account</w:t>
            </w:r>
            <w:r>
              <w:t xml:space="preserve"> </w:t>
            </w:r>
            <w:r>
              <w:t xml:space="preserve">inventory and</w:t>
            </w:r>
            <w:r>
              <w:t xml:space="preserve"> </w:t>
            </w:r>
            <w:r>
              <w:t xml:space="preserve">modernization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count of</w:t>
            </w:r>
            <w:r>
              <w:t xml:space="preserve"> </w:t>
            </w:r>
            <w:r>
              <w:t xml:space="preserve">service accounts;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patterns;</w:t>
            </w:r>
            <w:r>
              <w:t xml:space="preserve"> </w:t>
            </w:r>
            <w:r>
              <w:t xml:space="preserve">dependency</w:t>
            </w:r>
            <w:r>
              <w:t xml:space="preserve"> </w:t>
            </w:r>
            <w:r>
              <w:t xml:space="preserve">mapping]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service accounts</w:t>
            </w:r>
            <w:r>
              <w:t xml:space="preserve"> </w:t>
            </w:r>
            <w:r>
              <w:t xml:space="preserve">inventoried;</w:t>
            </w:r>
            <w:r>
              <w:t xml:space="preserve"> </w:t>
            </w:r>
            <w:r>
              <w:t xml:space="preserve">modernization path</w:t>
            </w:r>
            <w:r>
              <w:t xml:space="preserve"> </w:t>
            </w:r>
            <w:r>
              <w:t xml:space="preserve">defined (Managed</w:t>
            </w:r>
            <w:r>
              <w:t xml:space="preserve"> </w:t>
            </w:r>
            <w:r>
              <w:t xml:space="preserve">Identity / workload</w:t>
            </w:r>
            <w:r>
              <w:t xml:space="preserve"> </w:t>
            </w:r>
            <w:r>
              <w:t xml:space="preserve">identity / governed</w:t>
            </w:r>
            <w:r>
              <w:t xml:space="preserve"> </w:t>
            </w:r>
            <w:r>
              <w:t xml:space="preserve">legacy); ownership</w:t>
            </w:r>
            <w:r>
              <w:t xml:space="preserve"> </w:t>
            </w:r>
            <w:r>
              <w:t xml:space="preserve">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owner</w:t>
            </w:r>
            <w:r>
              <w:t xml:space="preserve"> </w:t>
            </w:r>
            <w:r>
              <w:t xml:space="preserve">identification;</w:t>
            </w:r>
            <w:r>
              <w:t xml:space="preserve"> </w:t>
            </w:r>
            <w:r>
              <w:t xml:space="preserve">workload hosting</w:t>
            </w:r>
            <w:r>
              <w:t xml:space="preserve"> </w:t>
            </w:r>
            <w:r>
              <w:t xml:space="preserve">architecture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Directory</w:t>
            </w:r>
            <w:r>
              <w:t xml:space="preserve"> </w:t>
            </w:r>
            <w:r>
              <w:t xml:space="preserve">synchronization</w:t>
            </w:r>
            <w:r>
              <w:t xml:space="preserve"> </w:t>
            </w:r>
            <w:r>
              <w:t xml:space="preserve">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 sync</w:t>
            </w:r>
            <w:r>
              <w:t xml:space="preserve"> </w:t>
            </w:r>
            <w:r>
              <w:t xml:space="preserve">error count;</w:t>
            </w:r>
            <w:r>
              <w:t xml:space="preserve"> </w:t>
            </w:r>
            <w:r>
              <w:t xml:space="preserve">object mismatch</w:t>
            </w:r>
            <w:r>
              <w:t xml:space="preserve"> </w:t>
            </w:r>
            <w:r>
              <w:t xml:space="preserve">rate; connector</w:t>
            </w:r>
            <w:r>
              <w:t xml:space="preserve"> </w:t>
            </w:r>
            <w:r>
              <w:t xml:space="preserve">health]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persistent sync</w:t>
            </w:r>
            <w:r>
              <w:t xml:space="preserve"> </w:t>
            </w:r>
            <w:r>
              <w:t xml:space="preserve">errors; all objects</w:t>
            </w:r>
            <w:r>
              <w:t xml:space="preserve"> </w:t>
            </w:r>
            <w:r>
              <w:t xml:space="preserve">consistent between</w:t>
            </w:r>
            <w:r>
              <w:t xml:space="preserve"> </w:t>
            </w:r>
            <w:r>
              <w:t xml:space="preserve">on-premises AD and</w:t>
            </w:r>
            <w:r>
              <w:t xml:space="preserve"> </w:t>
            </w: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Connect</w:t>
            </w:r>
            <w:r>
              <w:t xml:space="preserve"> </w:t>
            </w:r>
            <w:r>
              <w:t xml:space="preserve">health;</w:t>
            </w:r>
            <w:r>
              <w:t xml:space="preserve"> </w:t>
            </w:r>
            <w:r>
              <w:t xml:space="preserve">on-premises AD</w:t>
            </w:r>
            <w:r>
              <w:t xml:space="preserve"> </w:t>
            </w:r>
            <w:r>
              <w:t xml:space="preserve">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Attribute</w:t>
            </w:r>
            <w:r>
              <w:t xml:space="preserve"> </w:t>
            </w:r>
            <w:r>
              <w:t xml:space="preserve">completeness for</w:t>
            </w:r>
            <w:r>
              <w:t xml:space="preserve"> </w:t>
            </w:r>
            <w:r>
              <w:t xml:space="preserve">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[Assess:</w:t>
            </w:r>
            <w:r>
              <w:t xml:space="preserve"> </w:t>
            </w:r>
            <w:r>
              <w:t xml:space="preserve">percentage of</w:t>
            </w:r>
            <w:r>
              <w:t xml:space="preserve"> </w:t>
            </w:r>
            <w:r>
              <w:t xml:space="preserve">users with</w:t>
            </w:r>
            <w:r>
              <w:t xml:space="preserve"> </w:t>
            </w:r>
            <w:r>
              <w:t xml:space="preserve">populated</w:t>
            </w:r>
            <w:r>
              <w:t xml:space="preserve"> </w:t>
            </w:r>
            <w:r>
              <w:t xml:space="preserve">department,</w:t>
            </w:r>
            <w:r>
              <w:t xml:space="preserve"> </w:t>
            </w:r>
            <w:r>
              <w:t xml:space="preserve">location, cost</w:t>
            </w:r>
            <w:r>
              <w:t xml:space="preserve"> </w:t>
            </w:r>
            <w:r>
              <w:t xml:space="preserve">center</w:t>
            </w:r>
            <w:r>
              <w:t xml:space="preserve"> </w:t>
            </w:r>
            <w:r>
              <w:t xml:space="preserve">attributes]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≥98% attribute</w:t>
            </w:r>
            <w:r>
              <w:t xml:space="preserve"> </w:t>
            </w:r>
            <w:r>
              <w:t xml:space="preserve">completeness for</w:t>
            </w:r>
            <w:r>
              <w:t xml:space="preserve"> </w:t>
            </w:r>
            <w:r>
              <w:t xml:space="preserve">OrgPath-critical</w:t>
            </w:r>
            <w:r>
              <w:t xml:space="preserve"> </w:t>
            </w:r>
            <w:r>
              <w:t xml:space="preserve">attributes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HR data feed;</w:t>
            </w:r>
            <w:r>
              <w:t xml:space="preserve"> </w:t>
            </w:r>
            <w:r>
              <w:t xml:space="preserve">attribute mapping</w:t>
            </w:r>
            <w:r>
              <w:t xml:space="preserve"> </w:t>
            </w:r>
            <w:r>
              <w:t xml:space="preserve">rules in Entra</w:t>
            </w:r>
            <w:r>
              <w:t xml:space="preserve"> </w:t>
            </w:r>
            <w:r>
              <w:t xml:space="preserve">Connect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</w:tbl>
    <w:bookmarkEnd w:id="17"/>
    <w:bookmarkEnd w:id="18"/>
    <w:bookmarkStart w:id="26" w:name="Xee418f6f19ca8946412e70f0c6302e8828e2610"/>
    <w:p>
      <w:pPr>
        <w:pStyle w:val="Heading1"/>
      </w:pPr>
      <w:r>
        <w:t xml:space="preserve">Section 4: OrgPath Governance — Expanded for Devices</w:t>
      </w:r>
    </w:p>
    <w:bookmarkStart w:id="19" w:name="orgpath-definition"/>
    <w:p>
      <w:pPr>
        <w:pStyle w:val="Heading2"/>
      </w:pPr>
      <w:r>
        <w:t xml:space="preserve">4.1 OrgPath Definition</w:t>
      </w:r>
    </w:p>
    <w:p>
      <w:pPr>
        <w:pStyle w:val="FirstParagraph"/>
      </w:pPr>
      <w:r>
        <w:rPr>
          <w:b/>
          <w:bCs/>
        </w:rPr>
        <w:t xml:space="preserve">OrgPath</w:t>
      </w:r>
      <w:r>
        <w:t xml:space="preserve"> </w:t>
      </w:r>
      <w:r>
        <w:t xml:space="preserve">is the UIAO term for the organizational path governance</w:t>
      </w:r>
      <w:r>
        <w:t xml:space="preserve"> </w:t>
      </w:r>
      <w:r>
        <w:t xml:space="preserve">model built on</w:t>
      </w:r>
      <w:r>
        <w:t xml:space="preserve"> </w:t>
      </w:r>
      <w:r>
        <w:rPr>
          <w:b/>
          <w:bCs/>
        </w:rPr>
        <w:t xml:space="preserve">Microsoft Entra Administrative Units (AUs)</w:t>
      </w:r>
      <w:r>
        <w:t xml:space="preserve">. OrgPath</w:t>
      </w:r>
      <w:r>
        <w:t xml:space="preserve"> </w:t>
      </w:r>
      <w:r>
        <w:t xml:space="preserve">establishes the deterministic mapping of organizational structure to</w:t>
      </w:r>
      <w:r>
        <w:t xml:space="preserve"> </w:t>
      </w:r>
      <w:r>
        <w:t xml:space="preserve">Entra Administrative Units, creating governance boundaries, scoped</w:t>
      </w:r>
      <w:r>
        <w:t xml:space="preserve"> </w:t>
      </w:r>
      <w:r>
        <w:t xml:space="preserve">administration, and accountability chains that replace the legacy</w:t>
      </w:r>
      <w:r>
        <w:t xml:space="preserve"> </w:t>
      </w:r>
      <w:r>
        <w:t xml:space="preserve">OU-based governance model from on-premises Active Directory. Where</w:t>
      </w:r>
      <w:r>
        <w:t xml:space="preserve"> </w:t>
      </w:r>
      <w:r>
        <w:t xml:space="preserve">Active Directory OUs governed object placement and Group Policy</w:t>
      </w:r>
      <w:r>
        <w:t xml:space="preserve"> </w:t>
      </w:r>
      <w:r>
        <w:t xml:space="preserve">inheritance through a hierarchical tree, OrgPath governs administrative</w:t>
      </w:r>
      <w:r>
        <w:t xml:space="preserve"> </w:t>
      </w:r>
      <w:r>
        <w:t xml:space="preserve">scope and governance accountability through flat, role-scoped,</w:t>
      </w:r>
      <w:r>
        <w:t xml:space="preserve"> </w:t>
      </w:r>
      <w:r>
        <w:t xml:space="preserve">audit-traceable Administrative Units in the cloud.</w:t>
      </w:r>
    </w:p>
    <w:bookmarkEnd w:id="19"/>
    <w:bookmarkStart w:id="20" w:name="orgpath-architecture-for-users"/>
    <w:p>
      <w:pPr>
        <w:pStyle w:val="Heading2"/>
      </w:pPr>
      <w:r>
        <w:t xml:space="preserve">4.2 OrgPath Architecture for Users</w:t>
      </w:r>
    </w:p>
    <w:p>
      <w:pPr>
        <w:pStyle w:val="FirstParagraph"/>
      </w:pPr>
      <w:r>
        <w:t xml:space="preserve">The user OrgPath architecture establishes Administrative Units as</w:t>
      </w:r>
      <w:r>
        <w:t xml:space="preserve"> </w:t>
      </w:r>
      <w:r>
        <w:rPr>
          <w:b/>
          <w:bCs/>
        </w:rPr>
        <w:t xml:space="preserve">governance containers</w:t>
      </w:r>
      <w:r>
        <w:t xml:space="preserve"> </w:t>
      </w:r>
      <w:r>
        <w:t xml:space="preserve">— not security boundaries, but</w:t>
      </w:r>
      <w:r>
        <w:t xml:space="preserve"> </w:t>
      </w:r>
      <w:r>
        <w:t xml:space="preserve">administrative scoping boundaries that define who can manage whom. The</w:t>
      </w:r>
      <w:r>
        <w:t xml:space="preserve"> </w:t>
      </w:r>
      <w:r>
        <w:t xml:space="preserve">architecture is governed by the following principles: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Administrative Units as governance containers:</w:t>
      </w:r>
      <w:r>
        <w:t xml:space="preserve"> </w:t>
      </w:r>
      <w:r>
        <w:t xml:space="preserve">Each AU represents</w:t>
      </w:r>
      <w:r>
        <w:t xml:space="preserve"> </w:t>
      </w:r>
      <w:r>
        <w:t xml:space="preserve">a defined organizational scope (e.g., a department, a regional office,</w:t>
      </w:r>
      <w:r>
        <w:t xml:space="preserve"> </w:t>
      </w:r>
      <w:r>
        <w:t xml:space="preserve">a business unit). Users are assigned to AUs based on their</w:t>
      </w:r>
      <w:r>
        <w:t xml:space="preserve"> </w:t>
      </w:r>
      <w:r>
        <w:t xml:space="preserve">organizational attributes.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Dynamic AU membership rules:</w:t>
      </w:r>
      <w:r>
        <w:t xml:space="preserve"> </w:t>
      </w:r>
      <w:r>
        <w:t xml:space="preserve">Where possible, AU membership is</w:t>
      </w:r>
      <w:r>
        <w:t xml:space="preserve"> </w:t>
      </w:r>
      <w:r>
        <w:t xml:space="preserve">driven by dynamic rules based on user attributes — department,</w:t>
      </w:r>
      <w:r>
        <w:t xml:space="preserve"> </w:t>
      </w:r>
      <w:r>
        <w:t xml:space="preserve">location, cost center, or company name. Dynamic membership ensures</w:t>
      </w:r>
      <w:r>
        <w:t xml:space="preserve"> </w:t>
      </w:r>
      <w:r>
        <w:t xml:space="preserve">that governance assignment is automatic and consistent as users move</w:t>
      </w:r>
      <w:r>
        <w:t xml:space="preserve"> </w:t>
      </w:r>
      <w:r>
        <w:t xml:space="preserve">within the organization.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Scoped RBAC:</w:t>
      </w:r>
      <w:r>
        <w:t xml:space="preserve"> </w:t>
      </w:r>
      <w:r>
        <w:t xml:space="preserve">Role assignments are bounded to AU scope rather than</w:t>
      </w:r>
      <w:r>
        <w:t xml:space="preserve"> </w:t>
      </w:r>
      <w:r>
        <w:t xml:space="preserve">tenant-wide. A Helpdesk Administrator scoped to an AU can reset</w:t>
      </w:r>
      <w:r>
        <w:t xml:space="preserve"> </w:t>
      </w:r>
      <w:r>
        <w:t xml:space="preserve">passwords only for users within that AU. This eliminates the legacy</w:t>
      </w:r>
      <w:r>
        <w:t xml:space="preserve"> </w:t>
      </w:r>
      <w:r>
        <w:t xml:space="preserve">pattern of tenant-wide administrative privilege.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OrgPath hierarchy design principles:</w:t>
      </w:r>
      <w:r>
        <w:t xml:space="preserve"> </w:t>
      </w:r>
      <w:r>
        <w:t xml:space="preserve">Flat-first (minimize</w:t>
      </w:r>
      <w:r>
        <w:t xml:space="preserve"> </w:t>
      </w:r>
      <w:r>
        <w:t xml:space="preserve">nesting), role-scoped (design AUs around administrative need, not org</w:t>
      </w:r>
      <w:r>
        <w:t xml:space="preserve"> </w:t>
      </w:r>
      <w:r>
        <w:t xml:space="preserve">chart vanity), and audit-traceable (every AU membership change is</w:t>
      </w:r>
      <w:r>
        <w:t xml:space="preserve"> </w:t>
      </w:r>
      <w:r>
        <w:t xml:space="preserve">logged and provenance-tracked).</w:t>
      </w:r>
    </w:p>
    <w:bookmarkEnd w:id="20"/>
    <w:bookmarkStart w:id="24" w:name="device-orgpath-extension"/>
    <w:p>
      <w:pPr>
        <w:pStyle w:val="Heading2"/>
      </w:pPr>
      <w:r>
        <w:t xml:space="preserve">4.3 Device OrgPath Extension</w:t>
      </w:r>
    </w:p>
    <w:p>
      <w:pPr>
        <w:pStyle w:val="FirstParagraph"/>
      </w:pPr>
      <w:r>
        <w:rPr>
          <w:b/>
          <w:bCs/>
        </w:rPr>
        <w:t xml:space="preserve">Device OrgPath</w:t>
      </w:r>
      <w:r>
        <w:t xml:space="preserve"> </w:t>
      </w:r>
      <w:r>
        <w:t xml:space="preserve">extends the same governance scoping model to device</w:t>
      </w:r>
      <w:r>
        <w:t xml:space="preserve"> </w:t>
      </w:r>
      <w:r>
        <w:t xml:space="preserve">objects. This is the primary expansion in Phase 1 — establishing that</w:t>
      </w:r>
      <w:r>
        <w:t xml:space="preserve"> </w:t>
      </w:r>
      <w:r>
        <w:t xml:space="preserve">devices are not ungoverned objects floating in the tenant, but are</w:t>
      </w:r>
      <w:r>
        <w:t xml:space="preserve"> </w:t>
      </w:r>
      <w:r>
        <w:t xml:space="preserve">correlated to their owning user's Administrative Unit and subject to</w:t>
      </w:r>
      <w:r>
        <w:t xml:space="preserve"> </w:t>
      </w:r>
      <w:r>
        <w:t xml:space="preserve">the same scoped administration model.</w:t>
      </w:r>
    </w:p>
    <w:p>
      <w:pPr>
        <w:pStyle w:val="BodyText"/>
      </w:pPr>
      <w:r>
        <w:t xml:space="preserve">The device OrgPath correlation mechanism operates as follows: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Device-to-user correlation via Graph API automation</w:t>
      </w:r>
      <w:r>
        <w:rPr>
          <w:b/>
          <w:bCs/>
        </w:rPr>
        <w:t xml:space="preserve"> </w:t>
      </w:r>
      <w:r>
        <w:rPr>
          <w:b/>
          <w:bCs/>
        </w:rPr>
        <w:t xml:space="preserve">(PowerShell-first):</w:t>
      </w:r>
      <w:r>
        <w:t xml:space="preserve"> </w:t>
      </w:r>
      <w:r>
        <w:t xml:space="preserve">The device OrgPath correlation script queries</w:t>
      </w:r>
      <w:r>
        <w:t xml:space="preserve"> </w:t>
      </w:r>
      <w:r>
        <w:t xml:space="preserve">all Administrative Units, extracts user members from each AU, resolves</w:t>
      </w:r>
      <w:r>
        <w:t xml:space="preserve"> </w:t>
      </w:r>
      <w:r>
        <w:t xml:space="preserve">each user's registered and owned devices via Microsoft Graph, and</w:t>
      </w:r>
      <w:r>
        <w:t xml:space="preserve"> </w:t>
      </w:r>
      <w:r>
        <w:t xml:space="preserve">assigns those devices to the user's AU. This creates a deterministic</w:t>
      </w:r>
      <w:r>
        <w:t xml:space="preserve"> </w:t>
      </w:r>
      <w:r>
        <w:t xml:space="preserve">user-to-device governance chain.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Hybrid membership approach:</w:t>
      </w:r>
      <w:r>
        <w:t xml:space="preserve"> </w:t>
      </w:r>
      <w:r>
        <w:t xml:space="preserve">Dynamic AU membership for devices is</w:t>
      </w:r>
      <w:r>
        <w:t xml:space="preserve"> </w:t>
      </w:r>
      <w:r>
        <w:t xml:space="preserve">limited. The device attributes available for dynamic membership rules</w:t>
      </w:r>
      <w:r>
        <w:t xml:space="preserve"> </w:t>
      </w:r>
      <w:r>
        <w:t xml:space="preserve">in Entra ID are significantly fewer than user attributes — devices</w:t>
      </w:r>
      <w:r>
        <w:t xml:space="preserve"> </w:t>
      </w:r>
      <w:r>
        <w:t xml:space="preserve">lack department, cost center, and location attributes natively.</w:t>
      </w:r>
      <w:r>
        <w:t xml:space="preserve"> </w:t>
      </w:r>
      <w:r>
        <w:t xml:space="preserve">Therefore, a</w:t>
      </w:r>
      <w:r>
        <w:t xml:space="preserve"> </w:t>
      </w:r>
      <w:r>
        <w:rPr>
          <w:b/>
          <w:bCs/>
        </w:rPr>
        <w:t xml:space="preserve">hybrid approach</w:t>
      </w:r>
      <w:r>
        <w:t xml:space="preserve"> </w:t>
      </w:r>
      <w:r>
        <w:t xml:space="preserve">is required: scripted assignment</w:t>
      </w:r>
      <w:r>
        <w:t xml:space="preserve"> </w:t>
      </w:r>
      <w:r>
        <w:t xml:space="preserve">(PowerShell-based, scheduled) handles the primary correlation,</w:t>
      </w:r>
      <w:r>
        <w:t xml:space="preserve"> </w:t>
      </w:r>
      <w:r>
        <w:t xml:space="preserve">supplemented by dynamic rules where device attributes permit (e.g.,</w:t>
      </w:r>
      <w:r>
        <w:t xml:space="preserve"> </w:t>
      </w:r>
      <w:r>
        <w:t xml:space="preserve">device OS, device trust type).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Scoped device administration capabilities:</w:t>
      </w:r>
      <w:r>
        <w:t xml:space="preserve"> </w:t>
      </w:r>
      <w:r>
        <w:t xml:space="preserve">Device OrgPath enables</w:t>
      </w:r>
      <w:r>
        <w:t xml:space="preserve"> </w:t>
      </w:r>
      <w:r>
        <w:t xml:space="preserve">scoped</w:t>
      </w:r>
      <w:r>
        <w:t xml:space="preserve"> </w:t>
      </w:r>
      <w:r>
        <w:rPr>
          <w:b/>
          <w:bCs/>
        </w:rPr>
        <w:t xml:space="preserve">BitLocker key recovery</w:t>
      </w:r>
      <w:r>
        <w:t xml:space="preserve"> </w:t>
      </w:r>
      <w:r>
        <w:t xml:space="preserve">(administrators can recover keys</w:t>
      </w:r>
      <w:r>
        <w:t xml:space="preserve"> </w:t>
      </w:r>
      <w:r>
        <w:t xml:space="preserve">only for devices in their AU), scoped</w:t>
      </w:r>
      <w:r>
        <w:t xml:space="preserve"> </w:t>
      </w:r>
      <w:r>
        <w:rPr>
          <w:b/>
          <w:bCs/>
        </w:rPr>
        <w:t xml:space="preserve">Windows LAPS administration</w:t>
      </w:r>
      <w:r>
        <w:t xml:space="preserve"> </w:t>
      </w:r>
      <w:r>
        <w:t xml:space="preserve">(local admin password retrieval bounded to AU), scoped</w:t>
      </w:r>
      <w:r>
        <w:t xml:space="preserve"> </w:t>
      </w:r>
      <w:r>
        <w:rPr>
          <w:b/>
          <w:bCs/>
        </w:rPr>
        <w:t xml:space="preserve">device</w:t>
      </w:r>
      <w:r>
        <w:rPr>
          <w:b/>
          <w:bCs/>
        </w:rPr>
        <w:t xml:space="preserve"> </w:t>
      </w:r>
      <w:r>
        <w:rPr>
          <w:b/>
          <w:bCs/>
        </w:rPr>
        <w:t xml:space="preserve">compliance reporting</w:t>
      </w:r>
      <w:r>
        <w:t xml:space="preserve"> </w:t>
      </w:r>
      <w:r>
        <w:t xml:space="preserve">(compliance dashboards filtered by AU), and</w:t>
      </w:r>
      <w:r>
        <w:t xml:space="preserve"> </w:t>
      </w:r>
      <w:r>
        <w:t xml:space="preserve">scoped</w:t>
      </w:r>
      <w:r>
        <w:t xml:space="preserve"> </w:t>
      </w:r>
      <w:r>
        <w:rPr>
          <w:b/>
          <w:bCs/>
        </w:rPr>
        <w:t xml:space="preserve">Intune policy assignment</w:t>
      </w:r>
      <w:r>
        <w:t xml:space="preserve"> </w:t>
      </w:r>
      <w:r>
        <w:t xml:space="preserve">(policies targeted to device</w:t>
      </w:r>
      <w:r>
        <w:t xml:space="preserve"> </w:t>
      </w:r>
      <w:r>
        <w:t xml:space="preserve">groups derived from AU membership).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Governance accountability:</w:t>
      </w:r>
      <w:r>
        <w:t xml:space="preserve"> </w:t>
      </w:r>
      <w:r>
        <w:t xml:space="preserve">Device OrgPath ensures that the same</w:t>
      </w:r>
      <w:r>
        <w:t xml:space="preserve"> </w:t>
      </w:r>
      <w:r>
        <w:t xml:space="preserve">administrator who manages a user also has scoped authority over that</w:t>
      </w:r>
      <w:r>
        <w:t xml:space="preserve"> </w:t>
      </w:r>
      <w:r>
        <w:t xml:space="preserve">user's devices. This prevents</w:t>
      </w:r>
      <w:r>
        <w:t xml:space="preserve"> </w:t>
      </w:r>
      <w:r>
        <w:rPr>
          <w:b/>
          <w:bCs/>
        </w:rPr>
        <w:t xml:space="preserve">cross-boundary administrative drift</w:t>
      </w:r>
      <w:r>
        <w:t xml:space="preserve"> </w:t>
      </w:r>
      <w:r>
        <w:t xml:space="preserve">— the condition where device administration is disconnected from</w:t>
      </w:r>
      <w:r>
        <w:t xml:space="preserve"> </w:t>
      </w:r>
      <w:r>
        <w:t xml:space="preserve">user governance, creating accountability gaps.</w:t>
      </w:r>
    </w:p>
    <w:p>
      <w:pPr>
        <w:pStyle w:val="FirstParagraph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2.1 — Diagram showing OrgPath architecture with user AUs on the left, device correlation flow in the" title="" id="22" name="Picture"/>
            <a:graphic>
              <a:graphicData uri="http://schemas.openxmlformats.org/drawingml/2006/picture">
                <pic:pic>
                  <pic:nvPicPr>
                    <pic:cNvPr descr="images/02-01-diagram-showing-orgpath-architecture-with-user-aus-on-the-l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2.1 — Diagram showing OrgPath architecture with user AUs on the left, device correlation flow in the</w:t>
      </w:r>
    </w:p>
    <w:bookmarkEnd w:id="24"/>
    <w:bookmarkStart w:id="25" w:name="X26d03def4192c7ec947cdd54d6c7f8aacda49cb"/>
    <w:p>
      <w:pPr>
        <w:pStyle w:val="Heading2"/>
      </w:pPr>
      <w:r>
        <w:t xml:space="preserve">Table 3: OrgPath Governance Model — Users and Devices</w:t>
      </w:r>
    </w:p>
    <w:tbl>
      <w:tblPr>
        <w:tblStyle w:val="Table"/>
        <w:tblW w:type="pct" w:w="4894"/>
        <w:tblLayout w:type="fixed"/>
        <w:tblLook w:firstRow="1" w:lastRow="0" w:firstColumn="0" w:lastColumn="0" w:noHBand="0" w:noVBand="0" w:val="0020"/>
      </w:tblPr>
      <w:tblGrid>
        <w:gridCol w:w="1432"/>
        <w:gridCol w:w="1432"/>
        <w:gridCol w:w="1685"/>
        <w:gridCol w:w="1600"/>
        <w:gridCol w:w="160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Element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User OrgPath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Device OrgPath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Correlation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Automation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Approach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Administrative</w:t>
            </w:r>
            <w:r>
              <w:t xml:space="preserve"> </w:t>
            </w:r>
            <w:r>
              <w:t xml:space="preserve">Unit assignment</w:t>
            </w:r>
          </w:p>
        </w:tc>
        <w:tc>
          <w:tcPr/>
          <w:p>
            <w:pPr>
              <w:pStyle w:val="Compact"/>
            </w:pPr>
            <w:r>
              <w:t xml:space="preserve">Users assigned</w:t>
            </w:r>
            <w:r>
              <w:t xml:space="preserve"> </w:t>
            </w:r>
            <w:r>
              <w:t xml:space="preserve">to AUs based on</w:t>
            </w:r>
            <w:r>
              <w:t xml:space="preserve"> </w:t>
            </w:r>
            <w:r>
              <w:t xml:space="preserve">department,</w:t>
            </w:r>
            <w:r>
              <w:t xml:space="preserve"> </w:t>
            </w:r>
            <w:r>
              <w:t xml:space="preserve">location, cost</w:t>
            </w:r>
            <w:r>
              <w:t xml:space="preserve"> </w:t>
            </w:r>
            <w:r>
              <w:t xml:space="preserve">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Devices assigned to</w:t>
            </w:r>
            <w:r>
              <w:t xml:space="preserve"> </w:t>
            </w:r>
            <w:r>
              <w:t xml:space="preserve">AU of</w:t>
            </w:r>
            <w:r>
              <w:t xml:space="preserve"> </w:t>
            </w:r>
            <w:r>
              <w:t xml:space="preserve">owning/registered</w:t>
            </w:r>
            <w:r>
              <w:t xml:space="preserve"> </w:t>
            </w:r>
            <w:r>
              <w:t xml:space="preserve">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attribute →</w:t>
            </w:r>
            <w:r>
              <w:t xml:space="preserve"> </w:t>
            </w:r>
            <w:r>
              <w:t xml:space="preserve">AU (dynamic);</w:t>
            </w:r>
            <w:r>
              <w:t xml:space="preserve"> </w:t>
            </w:r>
            <w:r>
              <w:t xml:space="preserve">Device → User → AU</w:t>
            </w:r>
            <w:r>
              <w:t xml:space="preserve"> </w:t>
            </w:r>
            <w:r>
              <w:t xml:space="preserve">(scripted)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membership</w:t>
            </w:r>
            <w:r>
              <w:t xml:space="preserve"> </w:t>
            </w:r>
            <w:r>
              <w:t xml:space="preserve">rules (users);</w:t>
            </w:r>
            <w:r>
              <w:t xml:space="preserve"> </w:t>
            </w:r>
            <w:r>
              <w:t xml:space="preserve">PowerShell Graph</w:t>
            </w:r>
            <w:r>
              <w:t xml:space="preserve"> </w:t>
            </w:r>
            <w:r>
              <w:t xml:space="preserve">API script on</w:t>
            </w:r>
            <w:r>
              <w:t xml:space="preserve"> </w:t>
            </w:r>
            <w:r>
              <w:t xml:space="preserve">scheduled cadence</w:t>
            </w:r>
            <w:r>
              <w:t xml:space="preserve"> </w:t>
            </w:r>
            <w:r>
              <w:t xml:space="preserve">(devices)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Scoped RBAC</w:t>
            </w:r>
          </w:p>
        </w:tc>
        <w:tc>
          <w:tcPr/>
          <w:p>
            <w:pPr>
              <w:pStyle w:val="Compact"/>
            </w:pPr>
            <w:r>
              <w:t xml:space="preserve">Helpdesk Admin,</w:t>
            </w:r>
            <w:r>
              <w:t xml:space="preserve"> </w:t>
            </w:r>
            <w:r>
              <w:t xml:space="preserve">User Admin,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Admin scoped to</w:t>
            </w:r>
            <w:r>
              <w:t xml:space="preserve"> </w:t>
            </w:r>
            <w:r>
              <w:t xml:space="preserve">user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Admin,</w:t>
            </w:r>
            <w:r>
              <w:t xml:space="preserve"> </w:t>
            </w:r>
            <w:r>
              <w:t xml:space="preserve">BitLocker Recovery,</w:t>
            </w:r>
            <w:r>
              <w:t xml:space="preserve"> </w:t>
            </w:r>
            <w:r>
              <w:t xml:space="preserve">LAPS Admin scoped</w:t>
            </w:r>
            <w:r>
              <w:t xml:space="preserve"> </w:t>
            </w:r>
            <w:r>
              <w:t xml:space="preserve">to device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AU scope for</w:t>
            </w:r>
            <w:r>
              <w:t xml:space="preserve"> </w:t>
            </w:r>
            <w:r>
              <w:t xml:space="preserve">user and device;</w:t>
            </w:r>
            <w:r>
              <w:t xml:space="preserve"> </w:t>
            </w:r>
            <w:r>
              <w:t xml:space="preserve">correlated by</w:t>
            </w:r>
            <w:r>
              <w:t xml:space="preserve"> </w:t>
            </w:r>
            <w:r>
              <w:t xml:space="preserve">ownership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 assignments</w:t>
            </w:r>
            <w:r>
              <w:t xml:space="preserve"> </w:t>
            </w:r>
            <w:r>
              <w:t xml:space="preserve">configured per AU;</w:t>
            </w:r>
            <w:r>
              <w:t xml:space="preserve"> </w:t>
            </w:r>
            <w:r>
              <w:t xml:space="preserve">validated via</w:t>
            </w:r>
            <w:r>
              <w:t xml:space="preserve"> </w:t>
            </w:r>
            <w:r>
              <w:t xml:space="preserve">scoped access</w:t>
            </w:r>
            <w:r>
              <w:t xml:space="preserve"> </w:t>
            </w:r>
            <w:r>
              <w:t xml:space="preserve">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Membership</w:t>
            </w:r>
            <w:r>
              <w:t xml:space="preserve"> </w:t>
            </w:r>
            <w:r>
              <w:t xml:space="preserve">maintenance</w:t>
            </w:r>
          </w:p>
        </w:tc>
        <w:tc>
          <w:tcPr/>
          <w:p>
            <w:pPr>
              <w:pStyle w:val="Compact"/>
            </w:pPr>
            <w:r>
              <w:t xml:space="preserve">Dynamic rules</w:t>
            </w:r>
            <w:r>
              <w:t xml:space="preserve"> </w:t>
            </w:r>
            <w:r>
              <w:t xml:space="preserve">auto-update as</w:t>
            </w:r>
            <w:r>
              <w:t xml:space="preserve"> </w:t>
            </w:r>
            <w:r>
              <w:t xml:space="preserve">user attributes</w:t>
            </w:r>
            <w:r>
              <w:t xml:space="preserve"> </w:t>
            </w:r>
            <w:r>
              <w:t xml:space="preserve">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Scheduled script</w:t>
            </w:r>
            <w:r>
              <w:t xml:space="preserve"> </w:t>
            </w:r>
            <w:r>
              <w:t xml:space="preserve">re-evaluates</w:t>
            </w:r>
            <w:r>
              <w:t xml:space="preserve"> </w:t>
            </w:r>
            <w:r>
              <w:t xml:space="preserve">device-to-user</w:t>
            </w:r>
            <w:r>
              <w:t xml:space="preserve"> </w:t>
            </w:r>
            <w:r>
              <w:t xml:space="preserve">correlation;</w:t>
            </w:r>
            <w:r>
              <w:t xml:space="preserve"> </w:t>
            </w:r>
            <w:r>
              <w:t xml:space="preserve">adds/removes</w:t>
            </w:r>
            <w:r>
              <w:t xml:space="preserve"> </w:t>
            </w:r>
            <w:r>
              <w:t xml:space="preserve">devices as</w:t>
            </w:r>
            <w:r>
              <w:t xml:space="preserve"> </w:t>
            </w:r>
            <w:r>
              <w:t xml:space="preserve">ownership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User:</w:t>
            </w:r>
            <w:r>
              <w:t xml:space="preserve"> </w:t>
            </w:r>
            <w:r>
              <w:t xml:space="preserve">attribute-driven</w:t>
            </w:r>
            <w:r>
              <w:t xml:space="preserve"> </w:t>
            </w:r>
            <w:r>
              <w:t xml:space="preserve">(automatic);</w:t>
            </w:r>
            <w:r>
              <w:t xml:space="preserve"> </w:t>
            </w:r>
            <w:r>
              <w:t xml:space="preserve">Device:</w:t>
            </w:r>
            <w:r>
              <w:t xml:space="preserve"> </w:t>
            </w:r>
            <w:r>
              <w:t xml:space="preserve">ownership-driven</w:t>
            </w:r>
            <w:r>
              <w:t xml:space="preserve"> </w:t>
            </w:r>
            <w:r>
              <w:t xml:space="preserve">(scripted)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Users: Entra</w:t>
            </w:r>
            <w:r>
              <w:t xml:space="preserve"> </w:t>
            </w:r>
            <w:r>
              <w:t xml:space="preserve">dynamic membership</w:t>
            </w:r>
            <w:r>
              <w:t xml:space="preserve"> </w:t>
            </w:r>
            <w:r>
              <w:t xml:space="preserve">engine; Devices:</w:t>
            </w:r>
            <w:r>
              <w:t xml:space="preserve"> </w:t>
            </w:r>
            <w:r>
              <w:t xml:space="preserve">PowerShell runbook</w:t>
            </w:r>
            <w:r>
              <w:t xml:space="preserve"> </w:t>
            </w:r>
            <w:r>
              <w:t xml:space="preserve">on 4-hour cadence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BitLocker key</w:t>
            </w:r>
            <w:r>
              <w:t xml:space="preserve"> </w:t>
            </w:r>
            <w:r>
              <w:t xml:space="preserve">recovery</w:t>
            </w:r>
          </w:p>
        </w:tc>
        <w:tc>
          <w:tcPr/>
          <w:p>
            <w:pPr>
              <w:pStyle w:val="Compact"/>
            </w:pPr>
            <w:r>
              <w:t xml:space="preserve">N/A (user-level</w:t>
            </w:r>
            <w:r>
              <w:t xml:space="preserve"> </w:t>
            </w:r>
            <w:r>
              <w:t xml:space="preserve">operation)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Recovery scoped to</w:t>
            </w:r>
            <w:r>
              <w:t xml:space="preserve"> </w:t>
            </w:r>
            <w:r>
              <w:t xml:space="preserve">devices within</w:t>
            </w:r>
            <w:r>
              <w:t xml:space="preserve"> </w:t>
            </w:r>
            <w:r>
              <w:t xml:space="preserve">administrator's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AU</w:t>
            </w:r>
            <w:r>
              <w:t xml:space="preserve"> </w:t>
            </w:r>
            <w:r>
              <w:t xml:space="preserve">membership</w:t>
            </w:r>
            <w:r>
              <w:t xml:space="preserve"> </w:t>
            </w:r>
            <w:r>
              <w:t xml:space="preserve">determines</w:t>
            </w:r>
            <w:r>
              <w:t xml:space="preserve"> </w:t>
            </w:r>
            <w:r>
              <w:t xml:space="preserve">recovery</w:t>
            </w:r>
            <w:r>
              <w:t xml:space="preserve"> </w:t>
            </w:r>
            <w:r>
              <w:t xml:space="preserve">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AU-scoped</w:t>
            </w:r>
            <w:r>
              <w:t xml:space="preserve"> </w:t>
            </w:r>
            <w:r>
              <w:t xml:space="preserve">Cloud Device</w:t>
            </w:r>
            <w:r>
              <w:t xml:space="preserve"> </w:t>
            </w:r>
            <w:r>
              <w:t xml:space="preserve">Administrator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 LAPS</w:t>
            </w:r>
            <w:r>
              <w:t xml:space="preserve"> </w:t>
            </w:r>
            <w:r>
              <w:t xml:space="preserve">administration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  <w:r>
              <w:t xml:space="preserve"> </w:t>
            </w:r>
            <w:r>
              <w:t xml:space="preserve">(device-level</w:t>
            </w:r>
            <w:r>
              <w:t xml:space="preserve"> </w:t>
            </w:r>
            <w:r>
              <w:t xml:space="preserve">operation)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LAPS password</w:t>
            </w:r>
            <w:r>
              <w:t xml:space="preserve"> </w:t>
            </w:r>
            <w:r>
              <w:t xml:space="preserve">retrieval scoped to</w:t>
            </w:r>
            <w:r>
              <w:t xml:space="preserve"> </w:t>
            </w:r>
            <w:r>
              <w:t xml:space="preserve">devices within</w:t>
            </w:r>
            <w:r>
              <w:t xml:space="preserve"> </w:t>
            </w:r>
            <w:r>
              <w:t xml:space="preserve">administrator's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AU</w:t>
            </w:r>
            <w:r>
              <w:t xml:space="preserve"> </w:t>
            </w:r>
            <w:r>
              <w:t xml:space="preserve">membership</w:t>
            </w:r>
            <w:r>
              <w:t xml:space="preserve"> </w:t>
            </w:r>
            <w:r>
              <w:t xml:space="preserve">determines LAPS</w:t>
            </w:r>
            <w:r>
              <w:t xml:space="preserve"> </w:t>
            </w:r>
            <w: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AU-scoped</w:t>
            </w:r>
            <w:r>
              <w:t xml:space="preserve"> </w:t>
            </w:r>
            <w:r>
              <w:t xml:space="preserve">role with LAPS</w:t>
            </w:r>
            <w:r>
              <w:t xml:space="preserve"> </w:t>
            </w:r>
            <w:r>
              <w:t xml:space="preserve">read permission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</w:t>
            </w:r>
            <w:r>
              <w:t xml:space="preserve"> </w:t>
            </w:r>
            <w:r>
              <w:t xml:space="preserve">reporting</w:t>
            </w:r>
          </w:p>
        </w:tc>
        <w:tc>
          <w:tcPr/>
          <w:p>
            <w:pPr>
              <w:pStyle w:val="Compact"/>
            </w:pPr>
            <w:r>
              <w:t xml:space="preserve">User compliance</w:t>
            </w:r>
            <w:r>
              <w:t xml:space="preserve"> </w:t>
            </w:r>
            <w:r>
              <w:t xml:space="preserve">(MFA status,</w:t>
            </w:r>
            <w:r>
              <w:t xml:space="preserve"> </w:t>
            </w:r>
            <w:r>
              <w:t xml:space="preserve">license</w:t>
            </w:r>
            <w:r>
              <w:t xml:space="preserve"> </w:t>
            </w:r>
            <w:r>
              <w:t xml:space="preserve">assignment, risk</w:t>
            </w:r>
            <w:r>
              <w:t xml:space="preserve"> </w:t>
            </w:r>
            <w:r>
              <w:t xml:space="preserve">level) filtered</w:t>
            </w:r>
            <w:r>
              <w:t xml:space="preserve"> </w:t>
            </w:r>
            <w:r>
              <w:t xml:space="preserve">by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compliance</w:t>
            </w:r>
            <w:r>
              <w:t xml:space="preserve"> </w:t>
            </w:r>
            <w:r>
              <w:t xml:space="preserve">(encryption,</w:t>
            </w:r>
            <w:r>
              <w:t xml:space="preserve"> </w:t>
            </w:r>
            <w:r>
              <w:t xml:space="preserve">patching, OS</w:t>
            </w:r>
            <w:r>
              <w:t xml:space="preserve"> </w:t>
            </w:r>
            <w:r>
              <w:t xml:space="preserve">version) filtered</w:t>
            </w:r>
            <w:r>
              <w:t xml:space="preserve"> </w:t>
            </w:r>
            <w:r>
              <w:t xml:space="preserve">by 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Reporting queries</w:t>
            </w:r>
            <w:r>
              <w:t xml:space="preserve"> </w:t>
            </w:r>
            <w:r>
              <w:t xml:space="preserve">filtered by AU</w:t>
            </w:r>
            <w:r>
              <w:t xml:space="preserve"> </w:t>
            </w:r>
            <w:r>
              <w:t xml:space="preserve">membership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PowerShell/Graph</w:t>
            </w:r>
            <w:r>
              <w:t xml:space="preserve"> </w:t>
            </w:r>
            <w:r>
              <w:t xml:space="preserve">API reporting</w:t>
            </w:r>
            <w:r>
              <w:t xml:space="preserve"> </w:t>
            </w:r>
            <w:r>
              <w:t xml:space="preserve">scripts with AU</w:t>
            </w:r>
            <w:r>
              <w:t xml:space="preserve"> </w:t>
            </w:r>
            <w:r>
              <w:t xml:space="preserve">filter parameter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accountability</w:t>
            </w:r>
          </w:p>
        </w:tc>
        <w:tc>
          <w:tcPr/>
          <w:p>
            <w:pPr>
              <w:pStyle w:val="Compact"/>
            </w:pPr>
            <w:r>
              <w:t xml:space="preserve">User governance</w:t>
            </w:r>
            <w:r>
              <w:t xml:space="preserve"> </w:t>
            </w:r>
            <w:r>
              <w:t xml:space="preserve">owner =</w:t>
            </w:r>
            <w:r>
              <w:t xml:space="preserve"> </w:t>
            </w:r>
            <w:r>
              <w:t xml:space="preserve">AU-scoped</w:t>
            </w:r>
            <w:r>
              <w:t xml:space="preserve"> </w:t>
            </w:r>
            <w:r>
              <w:t xml:space="preserve">administrator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governance</w:t>
            </w:r>
            <w:r>
              <w:t xml:space="preserve"> </w:t>
            </w:r>
            <w:r>
              <w:t xml:space="preserve">owner = same</w:t>
            </w:r>
            <w:r>
              <w:t xml:space="preserve"> </w:t>
            </w:r>
            <w:r>
              <w:t xml:space="preserve">AU-scoped</w:t>
            </w:r>
            <w:r>
              <w:t xml:space="preserve"> </w:t>
            </w:r>
            <w:r>
              <w:t xml:space="preserve">administrator (via</w:t>
            </w:r>
            <w:r>
              <w:t xml:space="preserve"> </w:t>
            </w:r>
            <w:r>
              <w:t xml:space="preserve">user correlation)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</w:t>
            </w:r>
            <w:r>
              <w:t xml:space="preserve"> </w:t>
            </w:r>
            <w:r>
              <w:t xml:space="preserve">accountability</w:t>
            </w:r>
            <w:r>
              <w:t xml:space="preserve"> </w:t>
            </w:r>
            <w:r>
              <w:t xml:space="preserve">chain: Admin → AU</w:t>
            </w:r>
            <w:r>
              <w:t xml:space="preserve"> </w:t>
            </w:r>
            <w:r>
              <w:t xml:space="preserve">→ User +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accountability</w:t>
            </w:r>
            <w:r>
              <w:t xml:space="preserve"> </w:t>
            </w:r>
            <w:r>
              <w:t xml:space="preserve">register</w:t>
            </w:r>
            <w:r>
              <w:t xml:space="preserve"> </w:t>
            </w:r>
            <w:r>
              <w:t xml:space="preserve">maintained in</w:t>
            </w:r>
            <w:r>
              <w:t xml:space="preserve"> </w:t>
            </w:r>
            <w:r>
              <w:t xml:space="preserve">canon/</w:t>
            </w:r>
          </w:p>
        </w:tc>
      </w:tr>
    </w:tbl>
    <w:bookmarkEnd w:id="25"/>
    <w:bookmarkEnd w:id="26"/>
    <w:bookmarkStart w:id="33" w:name="section-5-device-identity-modernization"/>
    <w:p>
      <w:pPr>
        <w:pStyle w:val="Heading1"/>
      </w:pPr>
      <w:r>
        <w:t xml:space="preserve">Section 5: Device Identity Modernization</w:t>
      </w:r>
    </w:p>
    <w:p>
      <w:pPr>
        <w:pStyle w:val="FirstParagraph"/>
      </w:pPr>
      <w:r>
        <w:t xml:space="preserve">Device identity modernization transitions the tenant's device trust</w:t>
      </w:r>
      <w:r>
        <w:t xml:space="preserve"> </w:t>
      </w:r>
      <w:r>
        <w:t xml:space="preserve">model from legacy patterns to cloud-native defaults. This section covers</w:t>
      </w:r>
      <w:r>
        <w:t xml:space="preserve"> </w:t>
      </w:r>
      <w:r>
        <w:t xml:space="preserve">the assessment, planning, and execution mechanics for moving devices</w:t>
      </w:r>
      <w:r>
        <w:t xml:space="preserve"> </w:t>
      </w:r>
      <w:r>
        <w:t xml:space="preserve">from their current join types to the target cloud-native posture.</w:t>
      </w:r>
    </w:p>
    <w:bookmarkStart w:id="27" w:name="current-state-assessment"/>
    <w:p>
      <w:pPr>
        <w:pStyle w:val="Heading2"/>
      </w:pPr>
      <w:r>
        <w:t xml:space="preserve">5.1 Current State Assessment</w:t>
      </w:r>
    </w:p>
    <w:p>
      <w:pPr>
        <w:pStyle w:val="FirstParagraph"/>
      </w:pPr>
      <w:r>
        <w:t xml:space="preserve">The device identity assessment produces a comprehensive inventory</w:t>
      </w:r>
      <w:r>
        <w:t xml:space="preserve"> </w:t>
      </w:r>
      <w:r>
        <w:t xml:space="preserve">classified by</w:t>
      </w:r>
      <w:r>
        <w:t xml:space="preserve"> </w:t>
      </w:r>
      <w:r>
        <w:rPr>
          <w:b/>
          <w:bCs/>
        </w:rPr>
        <w:t xml:space="preserve">join type</w:t>
      </w:r>
      <w:r>
        <w:t xml:space="preserve">:</w:t>
      </w:r>
      <w:r>
        <w:t xml:space="preserve"> </w:t>
      </w:r>
      <w:r>
        <w:rPr>
          <w:b/>
          <w:bCs/>
        </w:rPr>
        <w:t xml:space="preserve">Hybrid Azure AD Joined</w:t>
      </w:r>
      <w:r>
        <w:t xml:space="preserve"> </w:t>
      </w:r>
      <w:r>
        <w:t xml:space="preserve">(devices joined</w:t>
      </w:r>
      <w:r>
        <w:t xml:space="preserve"> </w:t>
      </w:r>
      <w:r>
        <w:t xml:space="preserve">to both on-premises AD and Entra ID, managed via Group Policy and/or</w:t>
      </w:r>
      <w:r>
        <w:t xml:space="preserve"> </w:t>
      </w:r>
      <w:r>
        <w:t xml:space="preserve">SCCM),</w:t>
      </w:r>
      <w:r>
        <w:t xml:space="preserve"> </w:t>
      </w:r>
      <w:r>
        <w:rPr>
          <w:b/>
          <w:bCs/>
        </w:rPr>
        <w:t xml:space="preserve">domain-joined only</w:t>
      </w:r>
      <w:r>
        <w:t xml:space="preserve"> </w:t>
      </w:r>
      <w:r>
        <w:t xml:space="preserve">(devices joined to on-premises AD but not</w:t>
      </w:r>
      <w:r>
        <w:t xml:space="preserve"> </w:t>
      </w:r>
      <w:r>
        <w:t xml:space="preserve">registered in Entra ID — invisible to cloud governance),</w:t>
      </w:r>
      <w:r>
        <w:t xml:space="preserve"> </w:t>
      </w:r>
      <w:r>
        <w:rPr>
          <w:b/>
          <w:bCs/>
        </w:rPr>
        <w:t xml:space="preserve">Entra ID</w:t>
      </w:r>
      <w:r>
        <w:rPr>
          <w:b/>
          <w:bCs/>
        </w:rPr>
        <w:t xml:space="preserve"> </w:t>
      </w:r>
      <w:r>
        <w:rPr>
          <w:b/>
          <w:bCs/>
        </w:rPr>
        <w:t xml:space="preserve">Joined</w:t>
      </w:r>
      <w:r>
        <w:t xml:space="preserve"> </w:t>
      </w:r>
      <w:r>
        <w:t xml:space="preserve">(cloud-native devices joined only to Entra ID, managed via</w:t>
      </w:r>
      <w:r>
        <w:t xml:space="preserve"> </w:t>
      </w:r>
      <w:r>
        <w:t xml:space="preserve">Intune), and</w:t>
      </w:r>
      <w:r>
        <w:t xml:space="preserve"> </w:t>
      </w:r>
      <w:r>
        <w:rPr>
          <w:b/>
          <w:bCs/>
        </w:rPr>
        <w:t xml:space="preserve">Entra Registered</w:t>
      </w:r>
      <w:r>
        <w:t xml:space="preserve"> </w:t>
      </w:r>
      <w:r>
        <w:t xml:space="preserve">(BYOD devices registered for</w:t>
      </w:r>
      <w:r>
        <w:t xml:space="preserve"> </w:t>
      </w:r>
      <w:r>
        <w:t xml:space="preserve">conditional access but not domain-joined). Each device must be</w:t>
      </w:r>
      <w:r>
        <w:t xml:space="preserve"> </w:t>
      </w:r>
      <w:r>
        <w:t xml:space="preserve">classified, and the inventory must include management agent status (SCCM</w:t>
      </w:r>
      <w:r>
        <w:t xml:space="preserve"> </w:t>
      </w:r>
      <w:r>
        <w:t xml:space="preserve">client, Intune MDM enrollment, co-management state), OS version and</w:t>
      </w:r>
      <w:r>
        <w:t xml:space="preserve"> </w:t>
      </w:r>
      <w:r>
        <w:t xml:space="preserve">build, TPM version, and primary user assignment.</w:t>
      </w:r>
    </w:p>
    <w:bookmarkEnd w:id="27"/>
    <w:bookmarkStart w:id="28" w:name="migration-path"/>
    <w:p>
      <w:pPr>
        <w:pStyle w:val="Heading2"/>
      </w:pPr>
      <w:r>
        <w:t xml:space="preserve">5.3 Migration Path</w:t>
      </w:r>
    </w:p>
    <w:p>
      <w:pPr>
        <w:pStyle w:val="FirstParagraph"/>
      </w:pPr>
      <w:r>
        <w:t xml:space="preserve">The transition from Hybrid Join to Entra Join is</w:t>
      </w:r>
      <w:r>
        <w:t xml:space="preserve"> </w:t>
      </w:r>
      <w:r>
        <w:rPr>
          <w:b/>
          <w:bCs/>
        </w:rPr>
        <w:t xml:space="preserve">not a simple re-join</w:t>
      </w:r>
      <w:r>
        <w:rPr>
          <w:b/>
          <w:bCs/>
        </w:rPr>
        <w:t xml:space="preserve"> </w:t>
      </w:r>
      <w:r>
        <w:rPr>
          <w:b/>
          <w:bCs/>
        </w:rPr>
        <w:t xml:space="preserve">operation</w:t>
      </w:r>
      <w:r>
        <w:t xml:space="preserve">. A device cannot be "un-hybrid-joined" and</w:t>
      </w:r>
      <w:r>
        <w:t xml:space="preserve"> </w:t>
      </w:r>
      <w:r>
        <w:t xml:space="preserve">"re-Entra-joined" in place without disruption. The migration requires</w:t>
      </w:r>
      <w:r>
        <w:t xml:space="preserve"> </w:t>
      </w:r>
      <w:r>
        <w:t xml:space="preserve">careful sequencing: authentication trust must be validated (the user can</w:t>
      </w:r>
      <w:r>
        <w:t xml:space="preserve"> </w:t>
      </w:r>
      <w:r>
        <w:t xml:space="preserve">authenticate to all required resources without on-premises AD</w:t>
      </w:r>
      <w:r>
        <w:t xml:space="preserve"> </w:t>
      </w:r>
      <w:r>
        <w:t xml:space="preserve">line-of-sight), policy coverage must be confirmed (all GPO settings have</w:t>
      </w:r>
      <w:r>
        <w:t xml:space="preserve"> </w:t>
      </w:r>
      <w:r>
        <w:t xml:space="preserve">been migrated to Intune per Section 6), application compatibility must</w:t>
      </w:r>
      <w:r>
        <w:t xml:space="preserve"> </w:t>
      </w:r>
      <w:r>
        <w:t xml:space="preserve">be tested (all applications function with cloud-only identity), and</w:t>
      </w:r>
      <w:r>
        <w:t xml:space="preserve"> </w:t>
      </w:r>
      <w:r>
        <w:t xml:space="preserve">data/profile continuity must be planned (user profiles, data, and</w:t>
      </w:r>
      <w:r>
        <w:t xml:space="preserve"> </w:t>
      </w:r>
      <w:r>
        <w:t xml:space="preserve">settings are preserved through the transition).</w:t>
      </w:r>
    </w:p>
    <w:bookmarkEnd w:id="28"/>
    <w:bookmarkStart w:id="29" w:name="kerberos-cloud-trust"/>
    <w:p>
      <w:pPr>
        <w:pStyle w:val="Heading2"/>
      </w:pPr>
      <w:r>
        <w:t xml:space="preserve">5.4 Kerberos Cloud Trust</w:t>
      </w:r>
    </w:p>
    <w:p>
      <w:pPr>
        <w:pStyle w:val="FirstParagraph"/>
      </w:pPr>
      <w:r>
        <w:t xml:space="preserve">For organizations maintaining Hybrid Join during the transition period,</w:t>
      </w:r>
      <w:r>
        <w:t xml:space="preserve"> </w:t>
      </w:r>
      <w:r>
        <w:rPr>
          <w:b/>
          <w:bCs/>
        </w:rPr>
        <w:t xml:space="preserve">Kerberos Cloud Trust</w:t>
      </w:r>
      <w:r>
        <w:t xml:space="preserve"> </w:t>
      </w:r>
      <w:r>
        <w:t xml:space="preserve">provides a modernized hybrid identity method.</w:t>
      </w:r>
      <w:r>
        <w:t xml:space="preserve"> </w:t>
      </w:r>
      <w:r>
        <w:t xml:space="preserve">Kerberos Cloud Trust eliminates the synchronization delay and AD FS</w:t>
      </w:r>
      <w:r>
        <w:t xml:space="preserve"> </w:t>
      </w:r>
      <w:r>
        <w:t xml:space="preserve">dependency of legacy key trust and certificate trust Hybrid Join</w:t>
      </w:r>
      <w:r>
        <w:t xml:space="preserve"> </w:t>
      </w:r>
      <w:r>
        <w:t xml:space="preserve">methods. With Kerberos Cloud Trust, Windows Hello for Business</w:t>
      </w:r>
      <w:r>
        <w:t xml:space="preserve"> </w:t>
      </w:r>
      <w:r>
        <w:t xml:space="preserve">authentication in Hybrid Join scenarios works by obtaining a Kerberos</w:t>
      </w:r>
      <w:r>
        <w:t xml:space="preserve"> </w:t>
      </w:r>
      <w:r>
        <w:t xml:space="preserve">TGT from Entra ID rather than from a domain controller, significantly</w:t>
      </w:r>
      <w:r>
        <w:t xml:space="preserve"> </w:t>
      </w:r>
      <w:r>
        <w:t xml:space="preserve">simplifying the infrastructure requirements.</w:t>
      </w:r>
    </w:p>
    <w:bookmarkEnd w:id="29"/>
    <w:bookmarkStart w:id="30" w:name="device-trust-model"/>
    <w:p>
      <w:pPr>
        <w:pStyle w:val="Heading2"/>
      </w:pPr>
      <w:r>
        <w:t xml:space="preserve">5.5 Device Trust Model</w:t>
      </w:r>
    </w:p>
    <w:p>
      <w:pPr>
        <w:pStyle w:val="FirstParagraph"/>
      </w:pPr>
      <w:r>
        <w:rPr>
          <w:b/>
          <w:bCs/>
        </w:rPr>
        <w:t xml:space="preserve">Conditional Access policies</w:t>
      </w:r>
      <w:r>
        <w:t xml:space="preserve"> </w:t>
      </w:r>
      <w:r>
        <w:t xml:space="preserve">must evaluate device compliance and</w:t>
      </w:r>
      <w:r>
        <w:t xml:space="preserve"> </w:t>
      </w:r>
      <w:r>
        <w:t xml:space="preserve">device identity together. Device trust is not binary — it is a</w:t>
      </w:r>
      <w:r>
        <w:t xml:space="preserve"> </w:t>
      </w:r>
      <w:r>
        <w:t xml:space="preserve">function of join type (Entra Joined, Hybrid Joined, Registered),</w:t>
      </w:r>
      <w:r>
        <w:t xml:space="preserve"> </w:t>
      </w:r>
      <w:r>
        <w:t xml:space="preserve">compliance state (compliant, not compliant, not evaluated), and</w:t>
      </w:r>
      <w:r>
        <w:t xml:space="preserve"> </w:t>
      </w:r>
      <w:r>
        <w:t xml:space="preserve">management enrollment (MDM-enrolled, co-managed, unmanaged). Conditional</w:t>
      </w:r>
      <w:r>
        <w:t xml:space="preserve"> </w:t>
      </w:r>
      <w:r>
        <w:t xml:space="preserve">Access grant controls should require both device compliance and a</w:t>
      </w:r>
      <w:r>
        <w:t xml:space="preserve"> </w:t>
      </w:r>
      <w:r>
        <w:t xml:space="preserve">specific join type for access to sensitive resources, creating a layered</w:t>
      </w:r>
      <w:r>
        <w:t xml:space="preserve"> </w:t>
      </w:r>
      <w:r>
        <w:t xml:space="preserve">trust evaluation.</w:t>
      </w:r>
    </w:p>
    <w:bookmarkEnd w:id="30"/>
    <w:bookmarkStart w:id="31" w:name="autopilot-integration"/>
    <w:p>
      <w:pPr>
        <w:pStyle w:val="Heading2"/>
      </w:pPr>
      <w:r>
        <w:t xml:space="preserve">5.6 Autopilot Integration</w:t>
      </w:r>
    </w:p>
    <w:p>
      <w:pPr>
        <w:pStyle w:val="FirstParagraph"/>
      </w:pPr>
      <w:r>
        <w:t xml:space="preserve">All new device provisioning should default to</w:t>
      </w:r>
      <w:r>
        <w:t xml:space="preserve"> </w:t>
      </w:r>
      <w:r>
        <w:rPr>
          <w:b/>
          <w:bCs/>
        </w:rPr>
        <w:t xml:space="preserve">Entra Join + Windows</w:t>
      </w:r>
      <w:r>
        <w:rPr>
          <w:b/>
          <w:bCs/>
        </w:rPr>
        <w:t xml:space="preserve"> </w:t>
      </w:r>
      <w:r>
        <w:rPr>
          <w:b/>
          <w:bCs/>
        </w:rPr>
        <w:t xml:space="preserve">Autopilot</w:t>
      </w:r>
      <w:r>
        <w:t xml:space="preserve">, eliminating the need for on-premises imaging infrastructure</w:t>
      </w:r>
      <w:r>
        <w:t xml:space="preserve"> </w:t>
      </w:r>
      <w:r>
        <w:t xml:space="preserve">(WDS, MDT, SCCM OSD). Autopilot profiles should be configured with the</w:t>
      </w:r>
      <w:r>
        <w:t xml:space="preserve"> </w:t>
      </w:r>
      <w:r>
        <w:t xml:space="preserve">Enrollment Status Page (ESP) to ensure all policies and applications are</w:t>
      </w:r>
      <w:r>
        <w:t xml:space="preserve"> </w:t>
      </w:r>
      <w:r>
        <w:t xml:space="preserve">installed before the user reaches the desktop. Autopilot</w:t>
      </w:r>
      <w:r>
        <w:t xml:space="preserve"> </w:t>
      </w:r>
      <w:r>
        <w:t xml:space="preserve">pre-provisioning (white glove) should be evaluated for scenarios</w:t>
      </w:r>
      <w:r>
        <w:t xml:space="preserve"> </w:t>
      </w:r>
      <w:r>
        <w:t xml:space="preserve">requiring IT-touch provisioning.</w:t>
      </w:r>
    </w:p>
    <w:bookmarkEnd w:id="31"/>
    <w:bookmarkStart w:id="32" w:name="X79c67123f3e14df6ecaf8089403f76abe9dc475"/>
    <w:p>
      <w:pPr>
        <w:pStyle w:val="Heading2"/>
      </w:pPr>
      <w:r>
        <w:t xml:space="preserve">Table 4: Device Identity Transition Matrix</w:t>
      </w:r>
    </w:p>
    <w:tbl>
      <w:tblPr>
        <w:tblStyle w:val="Table"/>
        <w:tblW w:type="pct" w:w="4915"/>
        <w:tblLayout w:type="fixed"/>
        <w:tblLook w:firstRow="1" w:lastRow="0" w:firstColumn="0" w:lastColumn="0" w:noHBand="0" w:noVBand="0" w:val="0020"/>
      </w:tblPr>
      <w:tblGrid>
        <w:gridCol w:w="1083"/>
        <w:gridCol w:w="1286"/>
        <w:gridCol w:w="1286"/>
        <w:gridCol w:w="1218"/>
        <w:gridCol w:w="1353"/>
        <w:gridCol w:w="155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Current Join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 Join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Migration 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Risks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Timeline Estimate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Azure AD</w:t>
            </w:r>
            <w:r>
              <w:t xml:space="preserve"> </w:t>
            </w:r>
            <w:r>
              <w:t xml:space="preserve">Joined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Joined</w:t>
            </w:r>
          </w:p>
        </w:tc>
        <w:tc>
          <w:tcPr/>
          <w:p>
            <w:pPr>
              <w:pStyle w:val="Compact"/>
            </w:pPr>
            <w:r>
              <w:t xml:space="preserve">Staged: validate</w:t>
            </w:r>
            <w:r>
              <w:t xml:space="preserve"> </w:t>
            </w:r>
            <w:r>
              <w:t xml:space="preserve">app compatibility</w:t>
            </w:r>
            <w:r>
              <w:t xml:space="preserve"> </w:t>
            </w:r>
            <w:r>
              <w:t xml:space="preserve">→ confirm Intune</w:t>
            </w:r>
            <w:r>
              <w:t xml:space="preserve"> </w:t>
            </w:r>
            <w:r>
              <w:t xml:space="preserve">policy coverage →</w:t>
            </w:r>
            <w:r>
              <w:t xml:space="preserve"> </w:t>
            </w:r>
            <w:r>
              <w:t xml:space="preserve">migrate user</w:t>
            </w:r>
            <w:r>
              <w:t xml:space="preserve"> </w:t>
            </w:r>
            <w:r>
              <w:t xml:space="preserve">profile → disjoin</w:t>
            </w:r>
            <w:r>
              <w:t xml:space="preserve"> </w:t>
            </w:r>
            <w:r>
              <w:t xml:space="preserve">from on-premises</w:t>
            </w:r>
            <w:r>
              <w:t xml:space="preserve"> </w:t>
            </w:r>
            <w:r>
              <w:t xml:space="preserve">AD → Entra Join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t xml:space="preserve">wipe/reprovision</w:t>
            </w:r>
            <w:r>
              <w:t xml:space="preserve"> </w:t>
            </w:r>
            <w:r>
              <w:t xml:space="preserve">via Autopilot)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</w:t>
            </w:r>
            <w:r>
              <w:t xml:space="preserve"> </w:t>
            </w:r>
            <w:r>
              <w:t xml:space="preserve">dependency on</w:t>
            </w:r>
            <w:r>
              <w:t xml:space="preserve"> </w:t>
            </w:r>
            <w:r>
              <w:t xml:space="preserve">on-premises AD</w:t>
            </w:r>
            <w:r>
              <w:t xml:space="preserve"> </w:t>
            </w:r>
            <w:r>
              <w:t xml:space="preserve">(Kerberos); user</w:t>
            </w:r>
            <w:r>
              <w:t xml:space="preserve"> </w:t>
            </w:r>
            <w:r>
              <w:t xml:space="preserve">profile/data loss</w:t>
            </w:r>
            <w:r>
              <w:t xml:space="preserve"> </w:t>
            </w:r>
            <w:r>
              <w:t xml:space="preserve">during</w:t>
            </w:r>
            <w:r>
              <w:t xml:space="preserve"> </w:t>
            </w:r>
            <w:r>
              <w:t xml:space="preserve">reprovisioning;</w:t>
            </w:r>
            <w:r>
              <w:t xml:space="preserve"> </w:t>
            </w:r>
            <w:r>
              <w:t xml:space="preserve">GPO gap if Intune</w:t>
            </w:r>
            <w:r>
              <w:t xml:space="preserve"> </w:t>
            </w:r>
            <w:r>
              <w:t xml:space="preserve">migration</w:t>
            </w:r>
            <w:r>
              <w:t xml:space="preserve"> </w:t>
            </w:r>
            <w:r>
              <w:t xml:space="preserve">incomplete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policy</w:t>
            </w:r>
            <w:r>
              <w:t xml:space="preserve"> </w:t>
            </w:r>
            <w:r>
              <w:t xml:space="preserve">migration complete</w:t>
            </w:r>
            <w:r>
              <w:t xml:space="preserve"> </w:t>
            </w:r>
            <w:r>
              <w:t xml:space="preserve">(Section 6);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compatibility</w:t>
            </w:r>
            <w:r>
              <w:t xml:space="preserve"> </w:t>
            </w:r>
            <w:r>
              <w:t xml:space="preserve">tested; user data</w:t>
            </w:r>
            <w:r>
              <w:t xml:space="preserve"> </w:t>
            </w:r>
            <w:r>
              <w:t xml:space="preserve">backup/migration</w:t>
            </w:r>
            <w:r>
              <w:t xml:space="preserve"> </w:t>
            </w:r>
            <w:r>
              <w:t xml:space="preserve">plan; Autopilot</w:t>
            </w:r>
            <w:r>
              <w:t xml:space="preserve"> </w:t>
            </w:r>
            <w:r>
              <w:t xml:space="preserve">profile configured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6–12 months (phased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r>
              <w:t xml:space="preserve">department/location)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Domain-joined</w:t>
            </w:r>
            <w:r>
              <w:t xml:space="preserve"> </w:t>
            </w:r>
            <w:r>
              <w:t xml:space="preserve">only (not Entra</w:t>
            </w:r>
            <w:r>
              <w:t xml:space="preserve"> </w:t>
            </w:r>
            <w:r>
              <w:t xml:space="preserve">registered)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Joined</w:t>
            </w:r>
          </w:p>
        </w:tc>
        <w:tc>
          <w:tcPr/>
          <w:p>
            <w:pPr>
              <w:pStyle w:val="Compact"/>
            </w:pPr>
            <w:r>
              <w:t xml:space="preserve">Register in Entra</w:t>
            </w:r>
            <w:r>
              <w:t xml:space="preserve"> </w:t>
            </w:r>
            <w:r>
              <w:t xml:space="preserve">ID first (Hybrid</w:t>
            </w:r>
            <w:r>
              <w:t xml:space="preserve"> </w:t>
            </w:r>
            <w:r>
              <w:t xml:space="preserve">Join as interim) →</w:t>
            </w:r>
            <w:r>
              <w:t xml:space="preserve"> </w:t>
            </w:r>
            <w:r>
              <w:t xml:space="preserve">then follow</w:t>
            </w:r>
            <w:r>
              <w:t xml:space="preserve"> </w:t>
            </w:r>
            <w:r>
              <w:t xml:space="preserve">Hybrid-to-Entra</w:t>
            </w:r>
            <w:r>
              <w:t xml:space="preserve"> </w:t>
            </w:r>
            <w:r>
              <w:t xml:space="preserve">path; or wipe and</w:t>
            </w:r>
            <w:r>
              <w:t xml:space="preserve"> </w:t>
            </w:r>
            <w:r>
              <w:t xml:space="preserve">reprovision via</w:t>
            </w:r>
            <w:r>
              <w:t xml:space="preserve"> </w:t>
            </w:r>
            <w:r>
              <w:t xml:space="preserve">Autopilot if</w:t>
            </w:r>
            <w:r>
              <w:t xml:space="preserve"> </w:t>
            </w:r>
            <w:r>
              <w:t xml:space="preserve">device is eligible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is</w:t>
            </w:r>
            <w:r>
              <w:t xml:space="preserve"> </w:t>
            </w:r>
            <w:r>
              <w:t xml:space="preserve">currently</w:t>
            </w:r>
            <w:r>
              <w:t xml:space="preserve"> </w:t>
            </w:r>
            <w:r>
              <w:t xml:space="preserve">invisible to</w:t>
            </w:r>
            <w:r>
              <w:t xml:space="preserve"> </w:t>
            </w:r>
            <w:r>
              <w:t xml:space="preserve">cloud governance;</w:t>
            </w:r>
            <w:r>
              <w:t xml:space="preserve"> </w:t>
            </w:r>
            <w:r>
              <w:t xml:space="preserve">may have</w:t>
            </w:r>
            <w:r>
              <w:t xml:space="preserve"> </w:t>
            </w:r>
            <w:r>
              <w:t xml:space="preserve">undocumented</w:t>
            </w:r>
            <w:r>
              <w:t xml:space="preserve"> </w:t>
            </w:r>
            <w:r>
              <w:t xml:space="preserve">dependencies on</w:t>
            </w:r>
            <w:r>
              <w:t xml:space="preserve"> </w:t>
            </w:r>
            <w:r>
              <w:t xml:space="preserve">on-premises</w:t>
            </w:r>
            <w:r>
              <w:t xml:space="preserve"> </w:t>
            </w:r>
            <w:r>
              <w:t xml:space="preserve">resources; no</w:t>
            </w:r>
            <w:r>
              <w:t xml:space="preserve"> </w:t>
            </w:r>
            <w:r>
              <w:t xml:space="preserve">Intune management</w:t>
            </w:r>
            <w:r>
              <w:t xml:space="preserve"> </w:t>
            </w:r>
            <w:r>
              <w:t xml:space="preserve">agent present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must be</w:t>
            </w:r>
            <w:r>
              <w:t xml:space="preserve"> </w:t>
            </w:r>
            <w:r>
              <w:t xml:space="preserve">inventoried and</w:t>
            </w:r>
            <w:r>
              <w:t xml:space="preserve"> </w:t>
            </w:r>
            <w:r>
              <w:t xml:space="preserve">classified; MDM</w:t>
            </w:r>
            <w:r>
              <w:t xml:space="preserve"> </w:t>
            </w:r>
            <w:r>
              <w:t xml:space="preserve">enrollment must be</w:t>
            </w:r>
            <w:r>
              <w:t xml:space="preserve"> </w:t>
            </w:r>
            <w:r>
              <w:t xml:space="preserve">established; all</w:t>
            </w:r>
            <w:r>
              <w:t xml:space="preserve"> </w:t>
            </w:r>
            <w:r>
              <w:t xml:space="preserve">dependencies</w:t>
            </w:r>
            <w:r>
              <w:t xml:space="preserve"> </w:t>
            </w:r>
            <w:r>
              <w:t xml:space="preserve">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3–6 months (priority:</w:t>
            </w:r>
            <w:r>
              <w:t xml:space="preserve"> </w:t>
            </w:r>
            <w:r>
              <w:t xml:space="preserve">gain cloud visibility</w:t>
            </w:r>
            <w:r>
              <w:t xml:space="preserve"> </w:t>
            </w:r>
            <w:r>
              <w:t xml:space="preserve">first)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</w:t>
            </w:r>
            <w:r>
              <w:t xml:space="preserve"> </w:t>
            </w:r>
            <w:r>
              <w:t xml:space="preserve">Registered</w:t>
            </w:r>
            <w:r>
              <w:t xml:space="preserve"> </w:t>
            </w:r>
            <w:r>
              <w:t xml:space="preserve">(BYOD)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Registered</w:t>
            </w:r>
            <w:r>
              <w:t xml:space="preserve"> </w:t>
            </w:r>
            <w:r>
              <w:t xml:space="preserve">(maintain) or</w:t>
            </w:r>
            <w:r>
              <w:t xml:space="preserve"> </w:t>
            </w:r>
            <w:r>
              <w:t xml:space="preserve">Entra ID Joined</w:t>
            </w:r>
            <w:r>
              <w:t xml:space="preserve"> </w:t>
            </w:r>
            <w:r>
              <w:t xml:space="preserve">(if</w:t>
            </w:r>
            <w:r>
              <w:t xml:space="preserve"> </w:t>
            </w:r>
            <w:r>
              <w:t xml:space="preserve">corporate-owned)</w:t>
            </w:r>
          </w:p>
        </w:tc>
        <w:tc>
          <w:tcPr/>
          <w:p>
            <w:pPr>
              <w:pStyle w:val="Compact"/>
            </w:pPr>
            <w:r>
              <w:t xml:space="preserve">If BYOD: maintain</w:t>
            </w:r>
            <w:r>
              <w:t xml:space="preserve"> </w:t>
            </w:r>
            <w:r>
              <w:t xml:space="preserve">registration;</w:t>
            </w:r>
            <w:r>
              <w:t xml:space="preserve"> </w:t>
            </w:r>
            <w:r>
              <w:t xml:space="preserve">enforce MAM</w:t>
            </w:r>
            <w:r>
              <w:t xml:space="preserve"> </w:t>
            </w:r>
            <w:r>
              <w:t xml:space="preserve">policies. If</w:t>
            </w:r>
            <w:r>
              <w:t xml:space="preserve"> </w:t>
            </w:r>
            <w:r>
              <w:t xml:space="preserve">misclassified</w:t>
            </w:r>
            <w:r>
              <w:t xml:space="preserve"> </w:t>
            </w:r>
            <w:r>
              <w:t xml:space="preserve">corporate device:</w:t>
            </w:r>
            <w:r>
              <w:t xml:space="preserve"> </w:t>
            </w:r>
            <w:r>
              <w:t xml:space="preserve">re-enroll as Entra</w:t>
            </w:r>
            <w:r>
              <w:t xml:space="preserve"> </w:t>
            </w:r>
            <w:r>
              <w:t xml:space="preserve">Joined via</w:t>
            </w:r>
            <w:r>
              <w:t xml:space="preserve"> </w:t>
            </w:r>
            <w:r>
              <w:t xml:space="preserve">Autopilot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resistance</w:t>
            </w:r>
            <w:r>
              <w:t xml:space="preserve"> </w:t>
            </w:r>
            <w:r>
              <w:t xml:space="preserve">to MDM enrollment</w:t>
            </w:r>
            <w:r>
              <w:t xml:space="preserve"> </w:t>
            </w:r>
            <w:r>
              <w:t xml:space="preserve">on personal</w:t>
            </w:r>
            <w:r>
              <w:t xml:space="preserve"> </w:t>
            </w:r>
            <w:r>
              <w:t xml:space="preserve">devices; data</w:t>
            </w:r>
            <w:r>
              <w:t xml:space="preserve"> </w:t>
            </w:r>
            <w:r>
              <w:t xml:space="preserve">separation</w:t>
            </w:r>
            <w:r>
              <w:t xml:space="preserve"> </w:t>
            </w:r>
            <w:r>
              <w:t xml:space="preserve">concerns;</w:t>
            </w:r>
            <w:r>
              <w:t xml:space="preserve"> </w:t>
            </w:r>
            <w:r>
              <w:t xml:space="preserve">misclassified</w:t>
            </w:r>
            <w:r>
              <w:t xml:space="preserve"> </w:t>
            </w:r>
            <w:r>
              <w:t xml:space="preserve">devices receiving</w:t>
            </w:r>
            <w:r>
              <w:t xml:space="preserve"> </w:t>
            </w:r>
            <w:r>
              <w:t xml:space="preserve">incorrect</w:t>
            </w:r>
            <w:r>
              <w:t xml:space="preserve"> </w:t>
            </w:r>
            <w:r>
              <w:t xml:space="preserve">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ownership</w:t>
            </w:r>
            <w:r>
              <w:t xml:space="preserve"> </w:t>
            </w:r>
            <w:r>
              <w:t xml:space="preserve">classification</w:t>
            </w:r>
            <w:r>
              <w:t xml:space="preserve"> </w:t>
            </w:r>
            <w:r>
              <w:t xml:space="preserve">(corporate vs.</w:t>
            </w:r>
            <w:r>
              <w:t xml:space="preserve"> </w:t>
            </w:r>
            <w:r>
              <w:t xml:space="preserve">personal); MAM</w:t>
            </w:r>
            <w:r>
              <w:t xml:space="preserve"> </w:t>
            </w:r>
            <w:r>
              <w:t xml:space="preserve">policy set; user</w:t>
            </w:r>
            <w:r>
              <w:t xml:space="preserve"> </w:t>
            </w:r>
            <w:r>
              <w:t xml:space="preserve">communication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 (BYOD policy</w:t>
            </w:r>
            <w:r>
              <w:t xml:space="preserve"> </w:t>
            </w:r>
            <w:r>
              <w:t xml:space="preserve">enforcement is</w:t>
            </w:r>
            <w:r>
              <w:t xml:space="preserve"> </w:t>
            </w:r>
            <w:r>
              <w:t xml:space="preserve">continuous)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ID Joined</w:t>
            </w:r>
            <w:r>
              <w:t xml:space="preserve"> </w:t>
            </w:r>
            <w:r>
              <w:t xml:space="preserve">(already</w:t>
            </w:r>
            <w:r>
              <w:t xml:space="preserve"> </w:t>
            </w:r>
            <w:r>
              <w:t xml:space="preserve">cloud-native)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Joined</w:t>
            </w:r>
            <w:r>
              <w:t xml:space="preserve"> </w:t>
            </w:r>
            <w:r>
              <w:t xml:space="preserve">(maintain)</w:t>
            </w:r>
          </w:p>
        </w:tc>
        <w:tc>
          <w:tcPr/>
          <w:p>
            <w:pPr>
              <w:pStyle w:val="Compact"/>
            </w:pPr>
            <w:r>
              <w:t xml:space="preserve">No migration</w:t>
            </w:r>
            <w:r>
              <w:t xml:space="preserve"> </w:t>
            </w:r>
            <w:r>
              <w:t xml:space="preserve">required; validate</w:t>
            </w:r>
            <w:r>
              <w:t xml:space="preserve"> </w:t>
            </w:r>
            <w:r>
              <w:t xml:space="preserve">Intune policy</w:t>
            </w:r>
            <w:r>
              <w:t xml:space="preserve"> </w:t>
            </w:r>
            <w:r>
              <w:t xml:space="preserve">coverage and</w:t>
            </w:r>
            <w:r>
              <w:t xml:space="preserve"> </w:t>
            </w:r>
            <w:r>
              <w:t xml:space="preserve">compliance state;</w:t>
            </w:r>
            <w:r>
              <w:t xml:space="preserve"> </w:t>
            </w:r>
            <w:r>
              <w:t xml:space="preserve">ensure Autopilot</w:t>
            </w:r>
            <w:r>
              <w:t xml:space="preserve"> </w:t>
            </w:r>
            <w:r>
              <w:t xml:space="preserve">profile assignment</w:t>
            </w:r>
            <w:r>
              <w:t xml:space="preserve"> </w:t>
            </w:r>
            <w:r>
              <w:t xml:space="preserve">for reprovisioning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 —</w:t>
            </w:r>
            <w:r>
              <w:t xml:space="preserve"> </w:t>
            </w:r>
            <w:r>
              <w:t xml:space="preserve">ensure no</w:t>
            </w:r>
            <w:r>
              <w:t xml:space="preserve"> </w:t>
            </w:r>
            <w:r>
              <w:t xml:space="preserve">regression if</w:t>
            </w:r>
            <w:r>
              <w:t xml:space="preserve"> </w:t>
            </w:r>
            <w:r>
              <w:t xml:space="preserve">legacy policies</w:t>
            </w:r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t xml:space="preserve">decommissioned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policy</w:t>
            </w:r>
            <w:r>
              <w:t xml:space="preserve"> </w:t>
            </w:r>
            <w:r>
              <w:t xml:space="preserve">audit; compliance</w:t>
            </w:r>
            <w:r>
              <w:t xml:space="preserve"> </w:t>
            </w:r>
            <w:r>
              <w:t xml:space="preserve">baseline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only (1–2</w:t>
            </w:r>
            <w:r>
              <w:t xml:space="preserve"> </w:t>
            </w:r>
            <w:r>
              <w:t xml:space="preserve">weeks)</w:t>
            </w:r>
          </w:p>
        </w:tc>
      </w:tr>
    </w:tbl>
    <w:bookmarkEnd w:id="32"/>
    <w:bookmarkEnd w:id="33"/>
    <w:bookmarkStart w:id="44" w:name="section-6-gpo-to-intune-conversion"/>
    <w:p>
      <w:pPr>
        <w:pStyle w:val="Heading1"/>
      </w:pPr>
      <w:r>
        <w:t xml:space="preserve">Section 6: GPO-to-Intune Conversion</w:t>
      </w:r>
    </w:p>
    <w:p>
      <w:pPr>
        <w:pStyle w:val="FirstParagraph"/>
      </w:pPr>
      <w:r>
        <w:t xml:space="preserve">The conversion of Group Policy Objects (GPOs) to Microsoft Intune</w:t>
      </w:r>
      <w:r>
        <w:t xml:space="preserve"> </w:t>
      </w:r>
      <w:r>
        <w:t xml:space="preserve">policies is one of the most operationally intensive work streams in</w:t>
      </w:r>
      <w:r>
        <w:t xml:space="preserve"> </w:t>
      </w:r>
      <w:r>
        <w:t xml:space="preserve">Phase 1. This section defines the mechanics for inventorying,</w:t>
      </w:r>
      <w:r>
        <w:t xml:space="preserve"> </w:t>
      </w:r>
      <w:r>
        <w:t xml:space="preserve">rationalizing, migrating, and decommissioning GPOs in a governed,</w:t>
      </w:r>
      <w:r>
        <w:t xml:space="preserve"> </w:t>
      </w:r>
      <w:r>
        <w:t xml:space="preserve">auditable manner.</w:t>
      </w:r>
    </w:p>
    <w:bookmarkStart w:id="34" w:name="gpo-inventory-and-rationalization"/>
    <w:p>
      <w:pPr>
        <w:pStyle w:val="Heading2"/>
      </w:pPr>
      <w:r>
        <w:t xml:space="preserve">6.1 GPO Inventory and Rationalization</w:t>
      </w:r>
    </w:p>
    <w:p>
      <w:pPr>
        <w:pStyle w:val="FirstParagraph"/>
      </w:pPr>
      <w:r>
        <w:t xml:space="preserve">Before any migration begins, every GPO linked in the on-premises Active</w:t>
      </w:r>
      <w:r>
        <w:t xml:space="preserve"> </w:t>
      </w:r>
      <w:r>
        <w:t xml:space="preserve">Directory environment must be inventoried and assessed. The</w:t>
      </w:r>
      <w:r>
        <w:t xml:space="preserve"> </w:t>
      </w:r>
      <w:r>
        <w:rPr>
          <w:b/>
          <w:bCs/>
        </w:rPr>
        <w:t xml:space="preserve">GPO</w:t>
      </w:r>
      <w:r>
        <w:rPr>
          <w:b/>
          <w:bCs/>
        </w:rPr>
        <w:t xml:space="preserve"> </w:t>
      </w:r>
      <w:r>
        <w:rPr>
          <w:b/>
          <w:bCs/>
        </w:rPr>
        <w:t xml:space="preserve">inventory</w:t>
      </w:r>
      <w:r>
        <w:t xml:space="preserve"> </w:t>
      </w:r>
      <w:r>
        <w:t xml:space="preserve">captures: GPO name, GUID, link location (OU/domain/site),</w:t>
      </w:r>
      <w:r>
        <w:t xml:space="preserve"> </w:t>
      </w:r>
      <w:r>
        <w:t xml:space="preserve">link status (enabled/disabled), WMI filter (if any), security filtering,</w:t>
      </w:r>
      <w:r>
        <w:t xml:space="preserve"> </w:t>
      </w:r>
      <w:r>
        <w:t xml:space="preserve">delegation, last modified date, and a setting-level breakdown.</w:t>
      </w:r>
      <w:r>
        <w:t xml:space="preserve"> </w:t>
      </w:r>
      <w:r>
        <w:rPr>
          <w:b/>
          <w:bCs/>
        </w:rPr>
        <w:t xml:space="preserve">Rationalization</w:t>
      </w:r>
      <w:r>
        <w:t xml:space="preserve"> </w:t>
      </w:r>
      <w:r>
        <w:t xml:space="preserve">is critical — many GPOs in legacy environments are</w:t>
      </w:r>
      <w:r>
        <w:t xml:space="preserve"> </w:t>
      </w:r>
      <w:r>
        <w:t xml:space="preserve">stale (not modified in years), conflicting (multiple GPOs setting the</w:t>
      </w:r>
      <w:r>
        <w:t xml:space="preserve"> </w:t>
      </w:r>
      <w:r>
        <w:t xml:space="preserve">same value differently), superseded (older GPOs overridden by newer</w:t>
      </w:r>
      <w:r>
        <w:t xml:space="preserve"> </w:t>
      </w:r>
      <w:r>
        <w:t xml:space="preserve">ones), or orphaned (linked to empty OUs). The migration is an</w:t>
      </w:r>
      <w:r>
        <w:t xml:space="preserve"> </w:t>
      </w:r>
      <w:r>
        <w:t xml:space="preserve">opportunity to</w:t>
      </w:r>
      <w:r>
        <w:t xml:space="preserve"> </w:t>
      </w:r>
      <w:r>
        <w:rPr>
          <w:b/>
          <w:bCs/>
        </w:rPr>
        <w:t xml:space="preserve">rationalize, not lift-and-shift</w:t>
      </w:r>
      <w:r>
        <w:t xml:space="preserve">. Every GPO must be</w:t>
      </w:r>
      <w:r>
        <w:t xml:space="preserve"> </w:t>
      </w:r>
      <w:r>
        <w:t xml:space="preserve">classified as: migrate, consolidate, deprecate, or defer.</w:t>
      </w:r>
    </w:p>
    <w:bookmarkEnd w:id="34"/>
    <w:bookmarkStart w:id="35" w:name="group-policy-analytics"/>
    <w:p>
      <w:pPr>
        <w:pStyle w:val="Heading2"/>
      </w:pPr>
      <w:r>
        <w:t xml:space="preserve">6.2 Group Policy Analytics</w:t>
      </w:r>
    </w:p>
    <w:p>
      <w:pPr>
        <w:pStyle w:val="FirstParagraph"/>
      </w:pPr>
      <w:r>
        <w:rPr>
          <w:b/>
          <w:bCs/>
        </w:rPr>
        <w:t xml:space="preserve">Group Policy Analytics</w:t>
      </w:r>
      <w:r>
        <w:t xml:space="preserve"> </w:t>
      </w:r>
      <w:r>
        <w:t xml:space="preserve">is Microsoft Intune's built-in tool for</w:t>
      </w:r>
      <w:r>
        <w:t xml:space="preserve"> </w:t>
      </w:r>
      <w:r>
        <w:t xml:space="preserve">assessing GPO migration readiness. GPOs are exported from on-premises</w:t>
      </w:r>
      <w:r>
        <w:t xml:space="preserve"> </w:t>
      </w:r>
      <w:r>
        <w:t xml:space="preserve">Active Directory as XML files (via Get-GPOReport -ReportType XML) and</w:t>
      </w:r>
      <w:r>
        <w:t xml:space="preserve"> </w:t>
      </w:r>
      <w:r>
        <w:t xml:space="preserve">imported into the Intune admin center. Group Policy Analytics maps each</w:t>
      </w:r>
      <w:r>
        <w:t xml:space="preserve"> </w:t>
      </w:r>
      <w:r>
        <w:t xml:space="preserve">setting in the GPO to its MDM/CSP equivalent in the</w:t>
      </w:r>
      <w:r>
        <w:t xml:space="preserve"> </w:t>
      </w:r>
      <w:r>
        <w:rPr>
          <w:b/>
          <w:bCs/>
        </w:rPr>
        <w:t xml:space="preserve">Settings</w:t>
      </w:r>
      <w:r>
        <w:rPr>
          <w:b/>
          <w:bCs/>
        </w:rPr>
        <w:t xml:space="preserve"> </w:t>
      </w:r>
      <w:r>
        <w:rPr>
          <w:b/>
          <w:bCs/>
        </w:rPr>
        <w:t xml:space="preserve">Catalog</w:t>
      </w:r>
      <w:r>
        <w:t xml:space="preserve">. The tool produces a</w:t>
      </w:r>
      <w:r>
        <w:t xml:space="preserve"> </w:t>
      </w:r>
      <w:r>
        <w:rPr>
          <w:b/>
          <w:bCs/>
        </w:rPr>
        <w:t xml:space="preserve">compatibility percentage</w:t>
      </w:r>
      <w:r>
        <w:t xml:space="preserve"> </w:t>
      </w:r>
      <w:r>
        <w:t xml:space="preserve">— the</w:t>
      </w:r>
      <w:r>
        <w:t xml:space="preserve"> </w:t>
      </w:r>
      <w:r>
        <w:t xml:space="preserve">proportion of settings that have direct 1:1 MDM equivalents. Settings</w:t>
      </w:r>
      <w:r>
        <w:t xml:space="preserve"> </w:t>
      </w:r>
      <w:r>
        <w:t xml:space="preserve">are classified as: Supported (direct MDM equivalent exists), Not</w:t>
      </w:r>
      <w:r>
        <w:t xml:space="preserve"> </w:t>
      </w:r>
      <w:r>
        <w:t xml:space="preserve">Supported (no MDM equivalent), and Deprecated (the setting applies to an</w:t>
      </w:r>
      <w:r>
        <w:t xml:space="preserve"> </w:t>
      </w:r>
      <w:r>
        <w:t xml:space="preserve">OS version no longer in scope).</w:t>
      </w:r>
    </w:p>
    <w:bookmarkEnd w:id="35"/>
    <w:bookmarkStart w:id="36" w:name="settings-catalog-migration"/>
    <w:p>
      <w:pPr>
        <w:pStyle w:val="Heading2"/>
      </w:pPr>
      <w:r>
        <w:t xml:space="preserve">6.3 Settings Catalog Migration</w:t>
      </w:r>
    </w:p>
    <w:p>
      <w:pPr>
        <w:pStyle w:val="FirstParagraph"/>
      </w:pPr>
      <w:r>
        <w:t xml:space="preserve">For settings with MDM equivalents, Group Policy Analytics can generate a</w:t>
      </w:r>
      <w:r>
        <w:t xml:space="preserve"> </w:t>
      </w:r>
      <w:r>
        <w:rPr>
          <w:b/>
          <w:bCs/>
        </w:rPr>
        <w:t xml:space="preserve">Settings Catalog</w:t>
      </w:r>
      <w:r>
        <w:t xml:space="preserve"> </w:t>
      </w:r>
      <w:r>
        <w:t xml:space="preserve">policy directly from the imported GPO. This is the</w:t>
      </w:r>
      <w:r>
        <w:t xml:space="preserve"> </w:t>
      </w:r>
      <w:r>
        <w:t xml:space="preserve">preferred migration path. The Settings Catalog provides the broadest and</w:t>
      </w:r>
      <w:r>
        <w:t xml:space="preserve"> </w:t>
      </w:r>
      <w:r>
        <w:t xml:space="preserve">most granular set of MDM configuration settings, organized by category.</w:t>
      </w:r>
      <w:r>
        <w:t xml:space="preserve"> </w:t>
      </w:r>
      <w:r>
        <w:t xml:space="preserve">Settings Catalog policies are the modern replacement for legacy Intune</w:t>
      </w:r>
      <w:r>
        <w:t xml:space="preserve"> </w:t>
      </w:r>
      <w:r>
        <w:t xml:space="preserve">configuration profiles and Administrative Templates (ADMX import). All</w:t>
      </w:r>
      <w:r>
        <w:t xml:space="preserve"> </w:t>
      </w:r>
      <w:r>
        <w:t xml:space="preserve">new policy creation should use the Settings Catalog exclusively.</w:t>
      </w:r>
    </w:p>
    <w:bookmarkEnd w:id="36"/>
    <w:bookmarkStart w:id="37" w:name="unsupported-settings-remediation"/>
    <w:p>
      <w:pPr>
        <w:pStyle w:val="Heading2"/>
      </w:pPr>
      <w:r>
        <w:t xml:space="preserve">6.4 Unsupported Settings Remediation</w:t>
      </w:r>
    </w:p>
    <w:p>
      <w:pPr>
        <w:pStyle w:val="FirstParagraph"/>
      </w:pPr>
      <w:r>
        <w:t xml:space="preserve">Settings without MDM equivalents require individual evaluation: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Intune compliance policies:</w:t>
      </w:r>
      <w:r>
        <w:t xml:space="preserve"> </w:t>
      </w:r>
      <w:r>
        <w:t xml:space="preserve">Some GPO settings that enforce a</w:t>
      </w:r>
      <w:r>
        <w:t xml:space="preserve"> </w:t>
      </w:r>
      <w:r>
        <w:t xml:space="preserve">configuration (e.g., minimum password length) have equivalents in</w:t>
      </w:r>
      <w:r>
        <w:t xml:space="preserve"> </w:t>
      </w:r>
      <w:r>
        <w:t xml:space="preserve">Intune compliance policies rather than configuration profiles. The</w:t>
      </w:r>
      <w:r>
        <w:t xml:space="preserve"> </w:t>
      </w:r>
      <w:r>
        <w:t xml:space="preserve">setting is not pushed but is evaluated — non-compliant devices are</w:t>
      </w:r>
      <w:r>
        <w:t xml:space="preserve"> </w:t>
      </w:r>
      <w:r>
        <w:t xml:space="preserve">flagged.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Proactive Remediations (Remediations):</w:t>
      </w:r>
      <w:r>
        <w:t xml:space="preserve"> </w:t>
      </w:r>
      <w:r>
        <w:t xml:space="preserve">Settings that require local</w:t>
      </w:r>
      <w:r>
        <w:t xml:space="preserve"> </w:t>
      </w:r>
      <w:r>
        <w:t xml:space="preserve">configuration not available via MDM can often be implemented as</w:t>
      </w:r>
      <w:r>
        <w:t xml:space="preserve"> </w:t>
      </w:r>
      <w:r>
        <w:t xml:space="preserve">PowerShell-based</w:t>
      </w:r>
      <w:r>
        <w:t xml:space="preserve"> </w:t>
      </w:r>
      <w:r>
        <w:rPr>
          <w:b/>
          <w:bCs/>
        </w:rPr>
        <w:t xml:space="preserve">Proactive Remediation scripts</w:t>
      </w:r>
      <w:r>
        <w:t xml:space="preserve">. A detection script</w:t>
      </w:r>
      <w:r>
        <w:t xml:space="preserve"> </w:t>
      </w:r>
      <w:r>
        <w:t xml:space="preserve">checks the current state; a remediation script corrects drift. This is</w:t>
      </w:r>
      <w:r>
        <w:t xml:space="preserve"> </w:t>
      </w:r>
      <w:r>
        <w:t xml:space="preserve">PowerShell-first and consistent with UIAO operational standards.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Deprecation:</w:t>
      </w:r>
      <w:r>
        <w:t xml:space="preserve"> </w:t>
      </w:r>
      <w:r>
        <w:t xml:space="preserve">Some GPO settings are obsolete — they configure</w:t>
      </w:r>
      <w:r>
        <w:t xml:space="preserve"> </w:t>
      </w:r>
      <w:r>
        <w:t xml:space="preserve">features no longer present in modern Windows, or they enforce</w:t>
      </w:r>
      <w:r>
        <w:t xml:space="preserve"> </w:t>
      </w:r>
      <w:r>
        <w:t xml:space="preserve">behaviors that are now default. These settings are deprecated and</w:t>
      </w:r>
      <w:r>
        <w:t xml:space="preserve"> </w:t>
      </w:r>
      <w:r>
        <w:t xml:space="preserve">documented. They are not migrated.</w:t>
      </w:r>
    </w:p>
    <w:bookmarkEnd w:id="37"/>
    <w:bookmarkStart w:id="38" w:name="coexistence-management"/>
    <w:p>
      <w:pPr>
        <w:pStyle w:val="Heading2"/>
      </w:pPr>
      <w:r>
        <w:t xml:space="preserve">6.5 Coexistence Management</w:t>
      </w:r>
    </w:p>
    <w:p>
      <w:pPr>
        <w:pStyle w:val="FirstParagraph"/>
      </w:pPr>
      <w:r>
        <w:t xml:space="preserve">During the transition period, devices may receive settings from both GPO</w:t>
      </w:r>
      <w:r>
        <w:t xml:space="preserve"> </w:t>
      </w:r>
      <w:r>
        <w:t xml:space="preserve">(via on-premises AD domain membership) and Intune (via MDM enrollment).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MDM Wins Over GP</w:t>
      </w:r>
      <w:r>
        <w:t xml:space="preserve"> </w:t>
      </w:r>
      <w:r>
        <w:t xml:space="preserve">policy (available since Windows 10 1803)</w:t>
      </w:r>
      <w:r>
        <w:t xml:space="preserve"> </w:t>
      </w:r>
      <w:r>
        <w:t xml:space="preserve">ensures that for enrolled devices, Intune-delivered settings take</w:t>
      </w:r>
      <w:r>
        <w:t xml:space="preserve"> </w:t>
      </w:r>
      <w:r>
        <w:t xml:space="preserve">precedence when a conflict exists. This policy must be explicitly</w:t>
      </w:r>
      <w:r>
        <w:t xml:space="preserve"> </w:t>
      </w:r>
      <w:r>
        <w:t xml:space="preserve">enabled and tested. Without it, the "last writer wins" behavior can</w:t>
      </w:r>
      <w:r>
        <w:t xml:space="preserve"> </w:t>
      </w:r>
      <w:r>
        <w:t xml:space="preserve">cause unpredictable configuration states. Coexistence testing must</w:t>
      </w:r>
      <w:r>
        <w:t xml:space="preserve"> </w:t>
      </w:r>
      <w:r>
        <w:t xml:space="preserve">validate: setting delivery from both sources, conflict resolution</w:t>
      </w:r>
      <w:r>
        <w:t xml:space="preserve"> </w:t>
      </w:r>
      <w:r>
        <w:t xml:space="preserve">behavior, user experience (no setting flicker or prompt storms), and</w:t>
      </w:r>
      <w:r>
        <w:t xml:space="preserve"> </w:t>
      </w:r>
      <w:r>
        <w:t xml:space="preserve">compliance reporting accuracy.</w:t>
      </w:r>
    </w:p>
    <w:bookmarkEnd w:id="38"/>
    <w:bookmarkStart w:id="42" w:name="policy-ownership-mapping"/>
    <w:p>
      <w:pPr>
        <w:pStyle w:val="Heading2"/>
      </w:pPr>
      <w:r>
        <w:t xml:space="preserve">6.6 Policy Ownership Mapping</w:t>
      </w:r>
    </w:p>
    <w:p>
      <w:pPr>
        <w:pStyle w:val="FirstParagraph"/>
      </w:pPr>
      <w:r>
        <w:t xml:space="preserve">Every migrated policy must have a</w:t>
      </w:r>
      <w:r>
        <w:t xml:space="preserve"> </w:t>
      </w:r>
      <w:r>
        <w:rPr>
          <w:b/>
          <w:bCs/>
        </w:rPr>
        <w:t xml:space="preserve">documented owner</w:t>
      </w:r>
      <w:r>
        <w:t xml:space="preserve"> </w:t>
      </w:r>
      <w:r>
        <w:t xml:space="preserve">mapped to the</w:t>
      </w:r>
      <w:r>
        <w:t xml:space="preserve"> </w:t>
      </w:r>
      <w:r>
        <w:t xml:space="preserve">OrgPath governance model. The owner is the individual accountable for</w:t>
      </w:r>
      <w:r>
        <w:t xml:space="preserve"> </w:t>
      </w:r>
      <w:r>
        <w:t xml:space="preserve">the policy's lifecycle: creation, modification, compliance monitoring,</w:t>
      </w:r>
      <w:r>
        <w:t xml:space="preserve"> </w:t>
      </w:r>
      <w:r>
        <w:t xml:space="preserve">and decommission.</w:t>
      </w:r>
      <w:r>
        <w:t xml:space="preserve"> </w:t>
      </w:r>
      <w:r>
        <w:rPr>
          <w:b/>
          <w:bCs/>
        </w:rPr>
        <w:t xml:space="preserve">Unowned policies are governance orphans</w:t>
      </w:r>
      <w:r>
        <w:t xml:space="preserve"> </w:t>
      </w:r>
      <w:r>
        <w:t xml:space="preserve">and are</w:t>
      </w:r>
      <w:r>
        <w:t xml:space="preserve"> </w:t>
      </w:r>
      <w:r>
        <w:t xml:space="preserve">CI-blocking under UIAO Canon rules. Ownership is recorded in the Policy</w:t>
      </w:r>
      <w:r>
        <w:t xml:space="preserve"> </w:t>
      </w:r>
      <w:r>
        <w:t xml:space="preserve">Ownership Register, stored in canon/, and validated during governance</w:t>
      </w:r>
      <w:r>
        <w:t xml:space="preserve"> </w:t>
      </w:r>
      <w:r>
        <w:t xml:space="preserve">reviews.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2.2 — Flowchart showing GPO-to-Intune conversion pipeline: GPO Export (XML via Get-GPOReport) → Group" title="" id="40" name="Picture"/>
            <a:graphic>
              <a:graphicData uri="http://schemas.openxmlformats.org/drawingml/2006/picture">
                <pic:pic>
                  <pic:nvPicPr>
                    <pic:cNvPr descr="images/02-02-flowchart-showing-gpo-to-intune-conversion-pipeline-gpo-expo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2.2 — Flowchart showing GPO-to-Intune conversion pipeline: GPO Export (XML via Get-GPOReport) → Group</w:t>
      </w:r>
    </w:p>
    <w:bookmarkEnd w:id="42"/>
    <w:bookmarkStart w:id="43" w:name="table-5-gpo-migration-decision-matrix"/>
    <w:p>
      <w:pPr>
        <w:pStyle w:val="Heading2"/>
      </w:pPr>
      <w:r>
        <w:t xml:space="preserve">Table 5: GPO Migration Decision Matrix</w:t>
      </w:r>
    </w:p>
    <w:tbl>
      <w:tblPr>
        <w:tblStyle w:val="Table"/>
        <w:tblW w:type="pct" w:w="4901"/>
        <w:tblLayout w:type="fixed"/>
        <w:tblLook w:firstRow="1" w:lastRow="0" w:firstColumn="0" w:lastColumn="0" w:noHBand="0" w:noVBand="0" w:val="0020"/>
      </w:tblPr>
      <w:tblGrid>
        <w:gridCol w:w="1254"/>
        <w:gridCol w:w="1176"/>
        <w:gridCol w:w="1333"/>
        <w:gridCol w:w="1333"/>
        <w:gridCol w:w="1489"/>
        <w:gridCol w:w="117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GPO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MDM Support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Migration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Intune 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</w:t>
            </w:r>
            <w:r>
              <w:t xml:space="preserve"> </w:t>
            </w:r>
            <w:r>
              <w:t xml:space="preserve">baselines</w:t>
            </w:r>
            <w:r>
              <w:t xml:space="preserve"> </w:t>
            </w:r>
            <w:r>
              <w:t xml:space="preserve">(password</w:t>
            </w:r>
            <w:r>
              <w:t xml:space="preserve"> </w:t>
            </w:r>
            <w:r>
              <w:t xml:space="preserve">policy,</w:t>
            </w:r>
            <w:r>
              <w:t xml:space="preserve"> </w:t>
            </w:r>
            <w:r>
              <w:t xml:space="preserve">lockout, audit)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 —</w:t>
            </w:r>
            <w:r>
              <w:t xml:space="preserve"> </w:t>
            </w:r>
            <w:r>
              <w:t xml:space="preserve">full Settings</w:t>
            </w:r>
            <w:r>
              <w:t xml:space="preserve"> </w:t>
            </w:r>
            <w:r>
              <w:t xml:space="preserve">Catalog</w:t>
            </w:r>
            <w:r>
              <w:t xml:space="preserve"> </w:t>
            </w:r>
            <w:r>
              <w:t xml:space="preserve">equivalents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migration via</w:t>
            </w:r>
            <w:r>
              <w:t xml:space="preserve"> </w:t>
            </w:r>
            <w:r>
              <w:t xml:space="preserve">Group Policy</w:t>
            </w:r>
            <w:r>
              <w:t xml:space="preserve"> </w:t>
            </w:r>
            <w:r>
              <w:t xml:space="preserve">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— Security</w:t>
            </w:r>
            <w:r>
              <w:t xml:space="preserve"> </w:t>
            </w:r>
            <w: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[Security Team</w:t>
            </w:r>
            <w:r>
              <w:t xml:space="preserve"> </w:t>
            </w:r>
            <w:r>
              <w:t xml:space="preserve">Lead — per</w:t>
            </w:r>
            <w:r>
              <w:t xml:space="preserve"> </w:t>
            </w:r>
            <w:r>
              <w:t xml:space="preserve">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BitLocker /</w:t>
            </w:r>
            <w:r>
              <w:t xml:space="preserve"> </w:t>
            </w:r>
            <w:r>
              <w:t xml:space="preserve">encryption</w:t>
            </w:r>
            <w:r>
              <w:t xml:space="preserve"> </w:t>
            </w: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 —</w:t>
            </w:r>
            <w:r>
              <w:t xml:space="preserve"> </w:t>
            </w:r>
            <w:r>
              <w:t xml:space="preserve">Endpoint</w:t>
            </w:r>
            <w:r>
              <w:t xml:space="preserve"> </w:t>
            </w:r>
            <w:r>
              <w:t xml:space="preserve">Security Disk</w:t>
            </w:r>
            <w:r>
              <w:t xml:space="preserve"> </w:t>
            </w:r>
            <w:r>
              <w:t xml:space="preserve">Encryption</w:t>
            </w:r>
            <w:r>
              <w:t xml:space="preserve"> </w:t>
            </w:r>
            <w:r>
              <w:t xml:space="preserve">profile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Security profile</w:t>
            </w:r>
            <w:r>
              <w:t xml:space="preserve"> </w:t>
            </w:r>
            <w:r>
              <w:t xml:space="preserve">creation; retire</w:t>
            </w:r>
            <w:r>
              <w:t xml:space="preserve"> </w:t>
            </w:r>
            <w:r>
              <w:t xml:space="preserve">GPO BitLocker</w:t>
            </w:r>
            <w:r>
              <w:t xml:space="preserve"> </w:t>
            </w:r>
            <w:r>
              <w:t xml:space="preserve">settings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Security —</w:t>
            </w:r>
            <w:r>
              <w:t xml:space="preserve"> </w:t>
            </w:r>
            <w:r>
              <w:t xml:space="preserve">Disk Encryption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[Security Team</w:t>
            </w:r>
            <w:r>
              <w:t xml:space="preserve"> </w:t>
            </w:r>
            <w:r>
              <w:t xml:space="preserve">Lead — per</w:t>
            </w:r>
            <w:r>
              <w:t xml:space="preserve"> </w:t>
            </w:r>
            <w:r>
              <w:t xml:space="preserve">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 Update</w:t>
            </w:r>
            <w:r>
              <w:t xml:space="preserve"> </w:t>
            </w:r>
            <w:r>
              <w:t xml:space="preserve">/ WSUS</w:t>
            </w:r>
            <w:r>
              <w:t xml:space="preserve"> </w:t>
            </w:r>
            <w:r>
              <w:t xml:space="preserve">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 —</w:t>
            </w:r>
            <w:r>
              <w:t xml:space="preserve"> </w:t>
            </w:r>
            <w:r>
              <w:t xml:space="preserve">Windows Update</w:t>
            </w:r>
            <w:r>
              <w:t xml:space="preserve"> </w:t>
            </w:r>
            <w:r>
              <w:t xml:space="preserve">for Business</w:t>
            </w:r>
            <w:r>
              <w:t xml:space="preserve"> </w:t>
            </w:r>
            <w:r>
              <w:t xml:space="preserve">(WUfB) via</w:t>
            </w:r>
            <w:r>
              <w:t xml:space="preserve"> </w:t>
            </w:r>
            <w:r>
              <w:t xml:space="preserve">Settings</w:t>
            </w:r>
            <w:r>
              <w:t xml:space="preserve"> </w:t>
            </w:r>
            <w:r>
              <w:t xml:space="preserve">Catalog +</w:t>
            </w:r>
            <w:r>
              <w:t xml:space="preserve"> </w:t>
            </w:r>
            <w:r>
              <w:t xml:space="preserve">Update Rings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WUfB deployment</w:t>
            </w:r>
            <w:r>
              <w:t xml:space="preserve"> </w:t>
            </w:r>
            <w:r>
              <w:t xml:space="preserve">ring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decommission</w:t>
            </w:r>
            <w:r>
              <w:t xml:space="preserve"> </w:t>
            </w:r>
            <w:r>
              <w:t xml:space="preserve">WSUS targeting</w:t>
            </w:r>
            <w:r>
              <w:t xml:space="preserve"> </w:t>
            </w:r>
            <w:r>
              <w:t xml:space="preserve">GPOs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— Windows</w:t>
            </w:r>
            <w:r>
              <w:t xml:space="preserve"> </w:t>
            </w:r>
            <w:r>
              <w:t xml:space="preserve">Update for</w:t>
            </w:r>
            <w:r>
              <w:t xml:space="preserve"> </w:t>
            </w:r>
            <w:r>
              <w:t xml:space="preserve">Business; Update</w:t>
            </w:r>
            <w:r>
              <w:t xml:space="preserve"> </w:t>
            </w:r>
            <w:r>
              <w:t xml:space="preserve">Rings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[Infrastructure</w:t>
            </w:r>
            <w:r>
              <w:t xml:space="preserve"> </w:t>
            </w:r>
            <w:r>
              <w:t xml:space="preserve">Lead — per</w:t>
            </w:r>
            <w:r>
              <w:t xml:space="preserve"> </w:t>
            </w:r>
            <w:r>
              <w:t xml:space="preserve">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Drive mappings</w:t>
            </w:r>
            <w:r>
              <w:t xml:space="preserve"> </w:t>
            </w:r>
            <w:r>
              <w:t xml:space="preserve">/ login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Supported</w:t>
            </w:r>
            <w:r>
              <w:t xml:space="preserve"> </w:t>
            </w:r>
            <w:r>
              <w:t xml:space="preserve">— no MDM</w:t>
            </w:r>
            <w:r>
              <w:t xml:space="preserve"> </w:t>
            </w:r>
            <w:r>
              <w:t xml:space="preserve">equivalent for</w:t>
            </w:r>
            <w:r>
              <w:t xml:space="preserve"> </w:t>
            </w:r>
            <w:r>
              <w:t xml:space="preserve">drive mapping</w:t>
            </w:r>
            <w:r>
              <w:t xml:space="preserve"> </w:t>
            </w:r>
            <w:r>
              <w:t xml:space="preserve">GPOs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(PowerShell</w:t>
            </w:r>
            <w:r>
              <w:t xml:space="preserve"> </w:t>
            </w:r>
            <w:r>
              <w:t xml:space="preserve">script) or</w:t>
            </w:r>
            <w:r>
              <w:t xml:space="preserve"> </w:t>
            </w:r>
            <w:r>
              <w:t xml:space="preserve">migration to</w:t>
            </w:r>
            <w:r>
              <w:t xml:space="preserve"> </w:t>
            </w:r>
            <w:r>
              <w:t xml:space="preserve">SharePoint</w:t>
            </w:r>
            <w:r>
              <w:t xml:space="preserve"> </w:t>
            </w:r>
            <w:r>
              <w:t xml:space="preserve">Online /</w:t>
            </w:r>
            <w:r>
              <w:t xml:space="preserve"> </w:t>
            </w:r>
            <w:r>
              <w:t xml:space="preserve">OneDrive Known</w:t>
            </w:r>
            <w:r>
              <w:t xml:space="preserve"> </w:t>
            </w:r>
            <w:r>
              <w:t xml:space="preserve">Folder Move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script; or</w:t>
            </w:r>
            <w:r>
              <w:t xml:space="preserve"> </w:t>
            </w:r>
            <w:r>
              <w:t xml:space="preserve">deprecation if</w:t>
            </w:r>
            <w:r>
              <w:t xml:space="preserve"> </w:t>
            </w:r>
            <w:r>
              <w:t xml:space="preserve">migrating to</w:t>
            </w:r>
            <w:r>
              <w:t xml:space="preserve"> </w:t>
            </w:r>
            <w:r>
              <w:t xml:space="preserve">cloud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[Endpoint Lead</w:t>
            </w:r>
            <w:r>
              <w:t xml:space="preserve"> </w:t>
            </w:r>
            <w:r>
              <w:t xml:space="preserve">—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Printer</w:t>
            </w:r>
            <w:r>
              <w:t xml:space="preserve"> </w:t>
            </w:r>
            <w:r>
              <w:t xml:space="preserve">deployment (GPP</w:t>
            </w:r>
            <w:r>
              <w:t xml:space="preserve"> </w:t>
            </w:r>
            <w:r>
              <w:t xml:space="preserve">Printers)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Partially</w:t>
            </w:r>
            <w:r>
              <w:t xml:space="preserve"> </w:t>
            </w:r>
            <w:r>
              <w:t xml:space="preserve">Supported —</w:t>
            </w:r>
            <w:r>
              <w:t xml:space="preserve"> </w:t>
            </w:r>
            <w:r>
              <w:t xml:space="preserve">Universal</w:t>
            </w:r>
            <w:r>
              <w:t xml:space="preserve"> </w:t>
            </w:r>
            <w:r>
              <w:t xml:space="preserve">Print provides</w:t>
            </w:r>
            <w:r>
              <w:t xml:space="preserve"> </w:t>
            </w:r>
            <w:r>
              <w:t xml:space="preserve">cloud</w:t>
            </w:r>
            <w:r>
              <w:t xml:space="preserve"> </w:t>
            </w:r>
            <w:r>
              <w:t xml:space="preserve">printing;</w:t>
            </w:r>
            <w:r>
              <w:t xml:space="preserve"> </w:t>
            </w:r>
            <w:r>
              <w:t xml:space="preserve">legacy printer</w:t>
            </w:r>
            <w:r>
              <w:t xml:space="preserve"> </w:t>
            </w:r>
            <w:r>
              <w:t xml:space="preserve">GPOs have no</w:t>
            </w:r>
            <w:r>
              <w:t xml:space="preserve"> </w:t>
            </w:r>
            <w:r>
              <w:t xml:space="preserve">MDM equivalent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Migrate to</w:t>
            </w:r>
            <w:r>
              <w:t xml:space="preserve"> </w:t>
            </w:r>
            <w:r>
              <w:t xml:space="preserve">Universal Print</w:t>
            </w:r>
            <w:r>
              <w:t xml:space="preserve"> </w:t>
            </w:r>
            <w:r>
              <w:t xml:space="preserve">where supported;</w:t>
            </w:r>
            <w:r>
              <w:t xml:space="preserve"> </w:t>
            </w:r>
            <w:r>
              <w:t xml:space="preserve">Proactive</w:t>
            </w:r>
            <w:r>
              <w:t xml:space="preserve"> </w:t>
            </w:r>
            <w:r>
              <w:t xml:space="preserve">Remediation for</w:t>
            </w:r>
            <w:r>
              <w:t xml:space="preserve"> </w:t>
            </w:r>
            <w:r>
              <w:t xml:space="preserve">remaining</w:t>
            </w:r>
            <w:r>
              <w:t xml:space="preserve"> </w:t>
            </w:r>
            <w:r>
              <w:t xml:space="preserve">printers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Universal Print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Proactive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script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[Endpoint Lead</w:t>
            </w:r>
            <w:r>
              <w:t xml:space="preserve"> </w:t>
            </w:r>
            <w:r>
              <w:t xml:space="preserve">—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Internet</w:t>
            </w:r>
            <w:r>
              <w:t xml:space="preserve"> </w:t>
            </w:r>
            <w:r>
              <w:t xml:space="preserve">Explorer / Edge</w:t>
            </w:r>
            <w:r>
              <w:t xml:space="preserve"> </w:t>
            </w:r>
            <w:r>
              <w:t xml:space="preserve">legacy settings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Deprecated —</w:t>
            </w:r>
            <w:r>
              <w:t xml:space="preserve"> </w:t>
            </w:r>
            <w:r>
              <w:t xml:space="preserve">IE mode</w:t>
            </w:r>
            <w:r>
              <w:t xml:space="preserve"> </w:t>
            </w:r>
            <w:r>
              <w:t xml:space="preserve">settings</w:t>
            </w:r>
            <w:r>
              <w:t xml:space="preserve"> </w:t>
            </w:r>
            <w:r>
              <w:t xml:space="preserve">available via</w:t>
            </w:r>
            <w:r>
              <w:t xml:space="preserve"> </w:t>
            </w:r>
            <w:r>
              <w:t xml:space="preserve">Settings</w:t>
            </w:r>
            <w:r>
              <w:t xml:space="preserve"> </w:t>
            </w:r>
            <w:r>
              <w:t xml:space="preserve">Catalog;</w:t>
            </w:r>
            <w:r>
              <w:t xml:space="preserve"> </w:t>
            </w:r>
            <w:r>
              <w:t xml:space="preserve">legacy IE GPOs</w:t>
            </w:r>
            <w:r>
              <w:t xml:space="preserve"> </w:t>
            </w:r>
            <w:r>
              <w:t xml:space="preserve">are obsolete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Deprecate</w:t>
            </w:r>
            <w:r>
              <w:t xml:space="preserve"> </w:t>
            </w:r>
            <w:r>
              <w:t xml:space="preserve">IE-specific</w:t>
            </w:r>
            <w:r>
              <w:t xml:space="preserve"> </w:t>
            </w:r>
            <w:r>
              <w:t xml:space="preserve">GPOs; migrate</w:t>
            </w:r>
            <w:r>
              <w:t xml:space="preserve"> </w:t>
            </w:r>
            <w:r>
              <w:t xml:space="preserve">Edge settings to</w:t>
            </w:r>
            <w:r>
              <w:t xml:space="preserve"> </w:t>
            </w:r>
            <w:r>
              <w:t xml:space="preserve">Settings</w:t>
            </w:r>
            <w:r>
              <w:t xml:space="preserve"> </w:t>
            </w:r>
            <w:r>
              <w:t xml:space="preserve">Catalog;</w:t>
            </w:r>
            <w:r>
              <w:t xml:space="preserve"> </w:t>
            </w:r>
            <w:r>
              <w:t xml:space="preserve">configure IE</w:t>
            </w:r>
            <w:r>
              <w:t xml:space="preserve"> </w:t>
            </w:r>
            <w:r>
              <w:t xml:space="preserve">mode site list</w:t>
            </w:r>
            <w:r>
              <w:t xml:space="preserve"> </w:t>
            </w:r>
            <w:r>
              <w:t xml:space="preserve">if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— Microsoft</w:t>
            </w:r>
            <w:r>
              <w:t xml:space="preserve"> </w:t>
            </w:r>
            <w:r>
              <w:t xml:space="preserve">Edge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[Endpoint Lead</w:t>
            </w:r>
            <w:r>
              <w:t xml:space="preserve"> </w:t>
            </w:r>
            <w:r>
              <w:t xml:space="preserve">—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Desktop</w:t>
            </w:r>
            <w:r>
              <w:t xml:space="preserve"> </w:t>
            </w:r>
            <w:r>
              <w:t xml:space="preserve">customization</w:t>
            </w:r>
            <w:r>
              <w:t xml:space="preserve"> </w:t>
            </w:r>
            <w:r>
              <w:t xml:space="preserve">(wallpaper,</w:t>
            </w:r>
            <w:r>
              <w:t xml:space="preserve"> </w:t>
            </w:r>
            <w:r>
              <w:t xml:space="preserve">Start Menu,</w:t>
            </w:r>
            <w:r>
              <w:t xml:space="preserve"> </w:t>
            </w:r>
            <w:r>
              <w:t xml:space="preserve">taskbar)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 —</w:t>
            </w:r>
            <w:r>
              <w:t xml:space="preserve"> </w:t>
            </w:r>
            <w:r>
              <w:t xml:space="preserve">Settings</w:t>
            </w:r>
            <w:r>
              <w:t xml:space="preserve"> </w:t>
            </w:r>
            <w:r>
              <w:t xml:space="preserve">Catalog</w:t>
            </w:r>
            <w:r>
              <w:t xml:space="preserve"> </w:t>
            </w:r>
            <w:r>
              <w:t xml:space="preserve">equivalents</w:t>
            </w:r>
            <w:r>
              <w:t xml:space="preserve"> </w:t>
            </w:r>
            <w:r>
              <w:t xml:space="preserve">for most</w:t>
            </w:r>
            <w:r>
              <w:t xml:space="preserve"> </w:t>
            </w:r>
            <w:r>
              <w:t xml:space="preserve">settings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migration;</w:t>
            </w:r>
            <w:r>
              <w:t xml:space="preserve"> </w:t>
            </w:r>
            <w:r>
              <w:t xml:space="preserve">validate user</w:t>
            </w:r>
            <w:r>
              <w:t xml:space="preserve"> </w:t>
            </w:r>
            <w:r>
              <w:t xml:space="preserve">experience</w:t>
            </w:r>
            <w:r>
              <w:t xml:space="preserve"> </w:t>
            </w:r>
            <w:r>
              <w:t xml:space="preserve">parity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  <w:r>
              <w:t xml:space="preserve"> </w:t>
            </w:r>
            <w:r>
              <w:t xml:space="preserve">— Experience /</w:t>
            </w:r>
            <w:r>
              <w:t xml:space="preserve"> </w:t>
            </w:r>
            <w:r>
              <w:t xml:space="preserve">Start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[Endpoint Lead</w:t>
            </w:r>
            <w:r>
              <w:t xml:space="preserve"> </w:t>
            </w:r>
            <w:r>
              <w:t xml:space="preserve">—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Software</w:t>
            </w:r>
            <w:r>
              <w:t xml:space="preserve"> </w:t>
            </w:r>
            <w:r>
              <w:t xml:space="preserve">installation</w:t>
            </w:r>
            <w:r>
              <w:t xml:space="preserve"> </w:t>
            </w:r>
            <w:r>
              <w:t xml:space="preserve">(GPO-based MSI</w:t>
            </w:r>
            <w:r>
              <w:t xml:space="preserve"> </w:t>
            </w:r>
            <w:r>
              <w:t xml:space="preserve">deployment)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Supported</w:t>
            </w:r>
            <w:r>
              <w:t xml:space="preserve"> </w:t>
            </w:r>
            <w:r>
              <w:t xml:space="preserve">— Intune</w:t>
            </w:r>
            <w:r>
              <w:t xml:space="preserve"> </w:t>
            </w:r>
            <w:r>
              <w:t xml:space="preserve">uses Win32 App</w:t>
            </w:r>
            <w:r>
              <w:t xml:space="preserve"> </w:t>
            </w:r>
            <w:r>
              <w:t xml:space="preserve">/ LOB app</w:t>
            </w:r>
            <w:r>
              <w:t xml:space="preserve"> </w:t>
            </w:r>
            <w:r>
              <w:t xml:space="preserve">deployment,</w:t>
            </w:r>
            <w:r>
              <w:t xml:space="preserve"> </w:t>
            </w:r>
            <w:r>
              <w:t xml:space="preserve">not GPO-based</w:t>
            </w:r>
            <w:r>
              <w:t xml:space="preserve"> </w:t>
            </w:r>
            <w:r>
              <w:t xml:space="preserve">MSI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Repackage as</w:t>
            </w:r>
            <w:r>
              <w:t xml:space="preserve"> </w:t>
            </w:r>
            <w:r>
              <w:t xml:space="preserve">Win32 apps for</w:t>
            </w:r>
            <w:r>
              <w:t xml:space="preserve"> </w:t>
            </w:r>
            <w:r>
              <w:t xml:space="preserve">Intune</w:t>
            </w:r>
            <w:r>
              <w:t xml:space="preserve"> </w:t>
            </w:r>
            <w:r>
              <w:t xml:space="preserve">deployment; or</w:t>
            </w:r>
            <w:r>
              <w:t xml:space="preserve"> </w:t>
            </w:r>
            <w:r>
              <w:t xml:space="preserve">migrate to</w:t>
            </w:r>
            <w:r>
              <w:t xml:space="preserve"> </w:t>
            </w:r>
            <w:r>
              <w:t xml:space="preserve">Winget / Intune</w:t>
            </w:r>
            <w:r>
              <w:t xml:space="preserve"> </w:t>
            </w:r>
            <w:r>
              <w:t xml:space="preserve">Store apps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Win32</w:t>
            </w:r>
            <w:r>
              <w:t xml:space="preserve"> </w:t>
            </w:r>
            <w:r>
              <w:t xml:space="preserve">App; Microsoft</w:t>
            </w:r>
            <w:r>
              <w:t xml:space="preserve"> </w:t>
            </w:r>
            <w:r>
              <w:t xml:space="preserve">Store 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[Application Lead</w:t>
            </w:r>
            <w:r>
              <w:t xml:space="preserve"> </w:t>
            </w:r>
            <w:r>
              <w:t xml:space="preserve">—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</w:tbl>
    <w:bookmarkEnd w:id="43"/>
    <w:bookmarkEnd w:id="44"/>
    <w:bookmarkStart w:id="51" w:name="section-7-azure-arc-enrollment"/>
    <w:p>
      <w:pPr>
        <w:pStyle w:val="Heading1"/>
      </w:pPr>
      <w:r>
        <w:t xml:space="preserve">Section 7: Azure Arc Enrollment</w:t>
      </w:r>
    </w:p>
    <w:p>
      <w:pPr>
        <w:pStyle w:val="FirstParagraph"/>
      </w:pPr>
      <w:r>
        <w:rPr>
          <w:b/>
          <w:bCs/>
        </w:rPr>
        <w:t xml:space="preserve">Azure Arc</w:t>
      </w:r>
      <w:r>
        <w:t xml:space="preserve"> </w:t>
      </w:r>
      <w:r>
        <w:t xml:space="preserve">extends the Azure management plane to on-premises and</w:t>
      </w:r>
      <w:r>
        <w:t xml:space="preserve"> </w:t>
      </w:r>
      <w:r>
        <w:t xml:space="preserve">multi-cloud servers, providing a unified management experience for</w:t>
      </w:r>
      <w:r>
        <w:t xml:space="preserve"> </w:t>
      </w:r>
      <w:r>
        <w:t xml:space="preserve">servers that cannot — or should not — migrate to Azure-hosted</w:t>
      </w:r>
      <w:r>
        <w:t xml:space="preserve"> </w:t>
      </w:r>
      <w:r>
        <w:t xml:space="preserve">infrastructure. Azure Arc is the modernization path for hybrid server</w:t>
      </w:r>
      <w:r>
        <w:t xml:space="preserve"> </w:t>
      </w:r>
      <w:r>
        <w:t xml:space="preserve">management, replacing legacy management tools with a cloud-native</w:t>
      </w:r>
      <w:r>
        <w:t xml:space="preserve"> </w:t>
      </w:r>
      <w:r>
        <w:t xml:space="preserve">control plane.</w:t>
      </w:r>
    </w:p>
    <w:bookmarkStart w:id="45" w:name="enrollment-mechanics"/>
    <w:p>
      <w:pPr>
        <w:pStyle w:val="Heading2"/>
      </w:pPr>
      <w:r>
        <w:t xml:space="preserve">7.1 Enrollment Mechanics</w:t>
      </w:r>
    </w:p>
    <w:p>
      <w:pPr>
        <w:pStyle w:val="FirstParagraph"/>
      </w:pPr>
      <w:r>
        <w:t xml:space="preserve">Azure Arc enrollment installs the</w:t>
      </w:r>
      <w:r>
        <w:t xml:space="preserve"> </w:t>
      </w:r>
      <w:r>
        <w:rPr>
          <w:b/>
          <w:bCs/>
        </w:rPr>
        <w:t xml:space="preserve">Azure Connected Machine Agent</w:t>
      </w:r>
      <w:r>
        <w:t xml:space="preserve"> </w:t>
      </w:r>
      <w:r>
        <w:t xml:space="preserve">on</w:t>
      </w:r>
      <w:r>
        <w:t xml:space="preserve"> </w:t>
      </w:r>
      <w:r>
        <w:t xml:space="preserve">target servers. This agent establishes a persistent outbound HTTPS</w:t>
      </w:r>
      <w:r>
        <w:t xml:space="preserve"> </w:t>
      </w:r>
      <w:r>
        <w:t xml:space="preserve">connection to Azure Resource Manager (ARM). Upon successful enrollment,</w:t>
      </w:r>
      <w:r>
        <w:t xml:space="preserve"> </w:t>
      </w:r>
      <w:r>
        <w:t xml:space="preserve">each server receives an</w:t>
      </w:r>
      <w:r>
        <w:t xml:space="preserve"> </w:t>
      </w:r>
      <w:r>
        <w:rPr>
          <w:b/>
          <w:bCs/>
        </w:rPr>
        <w:t xml:space="preserve">Azure resource ID</w:t>
      </w:r>
      <w:r>
        <w:t xml:space="preserve">, is placed in a designated</w:t>
      </w:r>
      <w:r>
        <w:t xml:space="preserve"> </w:t>
      </w:r>
      <w:r>
        <w:rPr>
          <w:b/>
          <w:bCs/>
        </w:rPr>
        <w:t xml:space="preserve">Resource Group</w:t>
      </w:r>
      <w:r>
        <w:t xml:space="preserve">, and becomes visible in the Azure portal alongside</w:t>
      </w:r>
      <w:r>
        <w:t xml:space="preserve"> </w:t>
      </w:r>
      <w:r>
        <w:t xml:space="preserve">cloud-native resources. Arc-enrolled servers can be tagged, governed by</w:t>
      </w:r>
      <w:r>
        <w:t xml:space="preserve"> </w:t>
      </w:r>
      <w:r>
        <w:t xml:space="preserve">Azure Policy, monitored by Azure Monitor, and managed through</w:t>
      </w:r>
      <w:r>
        <w:t xml:space="preserve"> </w:t>
      </w:r>
      <w:r>
        <w:t xml:space="preserve">Azure-native tooling — all without migrating the workload</w:t>
      </w:r>
      <w:r>
        <w:t xml:space="preserve"> </w:t>
      </w:r>
      <w:r>
        <w:t xml:space="preserve">off-premises.</w:t>
      </w:r>
    </w:p>
    <w:bookmarkEnd w:id="45"/>
    <w:bookmarkStart w:id="46" w:name="gcc-moderate-boundary-considerations"/>
    <w:p>
      <w:pPr>
        <w:pStyle w:val="Heading2"/>
      </w:pPr>
      <w:r>
        <w:t xml:space="preserve">7.2 GCC-Moderate Boundary Considerations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Important — Boundary Clarification</w:t>
            </w:r>
          </w:p>
          <w:p>
            <w:pPr>
              <w:pStyle w:val="BodyText"/>
            </w:pPr>
            <w:r>
              <w:t xml:space="preserve">Azure Arc enrollment operates in</w:t>
            </w:r>
            <w:r>
              <w:t xml:space="preserve"> </w:t>
            </w:r>
            <w:r>
              <w:rPr>
                <w:b/>
                <w:bCs/>
              </w:rPr>
              <w:t xml:space="preserve">Commercial Cloud (Azure)</w:t>
            </w:r>
            <w:r>
              <w:t xml:space="preserve">, not</w:t>
            </w:r>
            <w:r>
              <w:t xml:space="preserve"> </w:t>
            </w:r>
            <w:r>
              <w:t xml:space="preserve">within the M365 GCC-Moderate boundary. GCC-Moderate applies to</w:t>
            </w:r>
            <w:r>
              <w:t xml:space="preserve"> </w:t>
            </w:r>
            <w:r>
              <w:rPr>
                <w:b/>
                <w:bCs/>
              </w:rPr>
              <w:t xml:space="preserve">Microsoft 365 SaaS services only</w:t>
            </w:r>
            <w:r>
              <w:t xml:space="preserve"> </w:t>
            </w:r>
            <w:r>
              <w:t xml:space="preserve">and does not include Azure</w:t>
            </w:r>
            <w:r>
              <w:t xml:space="preserve"> </w:t>
            </w:r>
            <w:r>
              <w:t xml:space="preserve">services. Azure Arc is a governance bridge — it extends cloud</w:t>
            </w:r>
            <w:r>
              <w:t xml:space="preserve"> </w:t>
            </w:r>
            <w:r>
              <w:t xml:space="preserve">management capabilities to on-premises servers without creating a</w:t>
            </w:r>
            <w:r>
              <w:t xml:space="preserve"> </w:t>
            </w:r>
            <w:r>
              <w:t xml:space="preserve">boundary violation. This distinction is canonical and is further</w:t>
            </w:r>
            <w:r>
              <w:t xml:space="preserve"> </w:t>
            </w:r>
            <w:r>
              <w:t xml:space="preserve">addressed in Section 8 (Boundary Resolution).</w:t>
            </w:r>
          </w:p>
        </w:tc>
      </w:tr>
    </w:tbl>
    <w:bookmarkEnd w:id="46"/>
    <w:bookmarkStart w:id="47" w:name="management-capabilities-enabled-by-arc"/>
    <w:p>
      <w:pPr>
        <w:pStyle w:val="Heading2"/>
      </w:pPr>
      <w:r>
        <w:t xml:space="preserve">7.3 Management Capabilities Enabled by Arc</w:t>
      </w:r>
    </w:p>
    <w:p>
      <w:pPr>
        <w:pStyle w:val="FirstParagraph"/>
      </w:pPr>
      <w:r>
        <w:t xml:space="preserve">Azure Arc enrollment activates the following management capabilities for</w:t>
      </w:r>
      <w:r>
        <w:t xml:space="preserve"> </w:t>
      </w:r>
      <w:r>
        <w:t xml:space="preserve">on-premises servers: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Azure Update Manager:</w:t>
      </w:r>
      <w:r>
        <w:t xml:space="preserve"> </w:t>
      </w:r>
      <w:r>
        <w:t xml:space="preserve">Centralized patch assessment and deployment,</w:t>
      </w:r>
      <w:r>
        <w:t xml:space="preserve"> </w:t>
      </w:r>
      <w:r>
        <w:t xml:space="preserve">replacing legacy WSUS/SCCM patching workflows. Update Manager provides</w:t>
      </w:r>
      <w:r>
        <w:t xml:space="preserve"> </w:t>
      </w:r>
      <w:r>
        <w:t xml:space="preserve">compliance dashboards, scheduled patching windows, and</w:t>
      </w:r>
      <w:r>
        <w:t xml:space="preserve"> </w:t>
      </w:r>
      <w:r>
        <w:t xml:space="preserve">pre/post-patching scripts.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Azure Change Tracking and Inventory:</w:t>
      </w:r>
      <w:r>
        <w:t xml:space="preserve"> </w:t>
      </w:r>
      <w:r>
        <w:t xml:space="preserve">Monitors changes to files,</w:t>
      </w:r>
      <w:r>
        <w:t xml:space="preserve"> </w:t>
      </w:r>
      <w:r>
        <w:t xml:space="preserve">registry, software inventory, and Windows services on Arc-enrolled</w:t>
      </w:r>
      <w:r>
        <w:t xml:space="preserve"> </w:t>
      </w:r>
      <w:r>
        <w:t xml:space="preserve">servers. Change Tracking provides audit trail and drift detection for</w:t>
      </w:r>
      <w:r>
        <w:t xml:space="preserve"> </w:t>
      </w:r>
      <w:r>
        <w:t xml:space="preserve">server configurations.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Windows Admin Center in Azure:</w:t>
      </w:r>
      <w:r>
        <w:t xml:space="preserve"> </w:t>
      </w:r>
      <w:r>
        <w:t xml:space="preserve">Remote server management through</w:t>
      </w:r>
      <w:r>
        <w:t xml:space="preserve"> </w:t>
      </w:r>
      <w:r>
        <w:t xml:space="preserve">the Azure portal — no VPN or direct RDP required. Provides event log</w:t>
      </w:r>
      <w:r>
        <w:t xml:space="preserve"> </w:t>
      </w:r>
      <w:r>
        <w:t xml:space="preserve">access, process management, registry editing, and performance</w:t>
      </w:r>
      <w:r>
        <w:t xml:space="preserve"> </w:t>
      </w:r>
      <w:r>
        <w:t xml:space="preserve">monitoring.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Azure Policy for server configuration:</w:t>
      </w:r>
      <w:r>
        <w:t xml:space="preserve"> </w:t>
      </w:r>
      <w:r>
        <w:t xml:space="preserve">Guest Configuration</w:t>
      </w:r>
      <w:r>
        <w:t xml:space="preserve"> </w:t>
      </w:r>
      <w:r>
        <w:t xml:space="preserve">policies (now called Machine Configuration) evaluate and enforce</w:t>
      </w:r>
      <w:r>
        <w:t xml:space="preserve"> </w:t>
      </w:r>
      <w:r>
        <w:t xml:space="preserve">configuration baselines on Arc-enrolled servers using PowerShell DSC.</w:t>
      </w:r>
      <w:r>
        <w:t xml:space="preserve"> </w:t>
      </w:r>
      <w:r>
        <w:t xml:space="preserve">Policies can audit or enforce settings.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Microsoft Defender for Servers integration:</w:t>
      </w:r>
      <w:r>
        <w:t xml:space="preserve"> </w:t>
      </w:r>
      <w:r>
        <w:t xml:space="preserve">Arc enrollment is a</w:t>
      </w:r>
      <w:r>
        <w:t xml:space="preserve"> </w:t>
      </w:r>
      <w:r>
        <w:t xml:space="preserve">prerequisite for onboarding on-premises servers to Microsoft Defender</w:t>
      </w:r>
      <w:r>
        <w:t xml:space="preserve"> </w:t>
      </w:r>
      <w:r>
        <w:t xml:space="preserve">for Servers (Plan 1 or Plan 2), enabling threat detection,</w:t>
      </w:r>
      <w:r>
        <w:t xml:space="preserve"> </w:t>
      </w:r>
      <w:r>
        <w:t xml:space="preserve">vulnerability assessment, and endpoint detection and response (EDR).</w:t>
      </w:r>
    </w:p>
    <w:bookmarkEnd w:id="47"/>
    <w:bookmarkStart w:id="48" w:name="modernization-from-sccmmecm"/>
    <w:p>
      <w:pPr>
        <w:pStyle w:val="Heading2"/>
      </w:pPr>
      <w:r>
        <w:t xml:space="preserve">7.4 Modernization from SCCM/MECM</w:t>
      </w:r>
    </w:p>
    <w:p>
      <w:pPr>
        <w:pStyle w:val="FirstParagraph"/>
      </w:pPr>
      <w:r>
        <w:t xml:space="preserve">For organizations currently using</w:t>
      </w:r>
      <w:r>
        <w:t xml:space="preserve"> </w:t>
      </w:r>
      <w:r>
        <w:rPr>
          <w:b/>
          <w:bCs/>
        </w:rPr>
        <w:t xml:space="preserve">System Center Configuration Manager</w:t>
      </w:r>
      <w:r>
        <w:rPr>
          <w:b/>
          <w:bCs/>
        </w:rPr>
        <w:t xml:space="preserve"> </w:t>
      </w:r>
      <w:r>
        <w:rPr>
          <w:b/>
          <w:bCs/>
        </w:rPr>
        <w:t xml:space="preserve">(SCCM / MECM)</w:t>
      </w:r>
      <w:r>
        <w:t xml:space="preserve"> </w:t>
      </w:r>
      <w:r>
        <w:t xml:space="preserve">for server management, Azure Arc provides the modern</w:t>
      </w:r>
      <w:r>
        <w:t xml:space="preserve"> </w:t>
      </w:r>
      <w:r>
        <w:t xml:space="preserve">equivalent management plane. The migration from SCCM to Arc-based</w:t>
      </w:r>
      <w:r>
        <w:t xml:space="preserve"> </w:t>
      </w:r>
      <w:r>
        <w:t xml:space="preserve">management follows a</w:t>
      </w:r>
      <w:r>
        <w:t xml:space="preserve"> </w:t>
      </w:r>
      <w:r>
        <w:rPr>
          <w:b/>
          <w:bCs/>
        </w:rPr>
        <w:t xml:space="preserve">parallel rationalization model</w:t>
      </w:r>
      <w:r>
        <w:t xml:space="preserve"> </w:t>
      </w:r>
      <w:r>
        <w:t xml:space="preserve">to the</w:t>
      </w:r>
      <w:r>
        <w:t xml:space="preserve"> </w:t>
      </w:r>
      <w:r>
        <w:t xml:space="preserve">GPO-to-Intune conversion described in Section 6: inventory existing SCCM</w:t>
      </w:r>
      <w:r>
        <w:t xml:space="preserve"> </w:t>
      </w:r>
      <w:r>
        <w:t xml:space="preserve">management functions, map each function to its Arc/Azure equivalent,</w:t>
      </w:r>
      <w:r>
        <w:t xml:space="preserve"> </w:t>
      </w:r>
      <w:r>
        <w:t xml:space="preserve">execute migration in phases, validate management parity, and</w:t>
      </w:r>
      <w:r>
        <w:t xml:space="preserve"> </w:t>
      </w:r>
      <w:r>
        <w:t xml:space="preserve">decommission legacy agents.</w:t>
      </w:r>
    </w:p>
    <w:bookmarkEnd w:id="48"/>
    <w:bookmarkStart w:id="49" w:name="arc-enrollment-sequencing"/>
    <w:p>
      <w:pPr>
        <w:pStyle w:val="Heading2"/>
      </w:pPr>
      <w:r>
        <w:t xml:space="preserve">7.5 Arc Enrollment Sequencing</w:t>
      </w:r>
    </w:p>
    <w:p>
      <w:pPr>
        <w:pStyle w:val="FirstParagraph"/>
      </w:pPr>
      <w:r>
        <w:t xml:space="preserve">Servers should be enrolled in Azure Arc in phases, not bulk-enrolled.</w:t>
      </w:r>
      <w:r>
        <w:t xml:space="preserve"> </w:t>
      </w:r>
      <w:r>
        <w:t xml:space="preserve">The phased approach validates management capabilities, identifies</w:t>
      </w:r>
      <w:r>
        <w:t xml:space="preserve"> </w:t>
      </w:r>
      <w:r>
        <w:t xml:space="preserve">compatibility issues, and establishes operational confidence before</w:t>
      </w:r>
      <w:r>
        <w:t xml:space="preserve"> </w:t>
      </w:r>
      <w:r>
        <w:t xml:space="preserve">production enrollment.</w:t>
      </w:r>
    </w:p>
    <w:bookmarkEnd w:id="49"/>
    <w:bookmarkStart w:id="50" w:name="table-6-azure-arc-enrollment-phases"/>
    <w:p>
      <w:pPr>
        <w:pStyle w:val="Heading2"/>
      </w:pPr>
      <w:r>
        <w:t xml:space="preserve">Table 6: Azure Arc Enrollment Phases</w:t>
      </w:r>
    </w:p>
    <w:tbl>
      <w:tblPr>
        <w:tblStyle w:val="Table"/>
        <w:tblW w:type="pct" w:w="4908"/>
        <w:tblLayout w:type="fixed"/>
        <w:tblLook w:firstRow="1" w:lastRow="0" w:firstColumn="0" w:lastColumn="0" w:noHBand="0" w:noVBand="0" w:val="0020"/>
      </w:tblPr>
      <w:tblGrid>
        <w:gridCol w:w="1380"/>
        <w:gridCol w:w="1235"/>
        <w:gridCol w:w="1453"/>
        <w:gridCol w:w="1235"/>
        <w:gridCol w:w="1235"/>
        <w:gridCol w:w="123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Server Scope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Management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Capabilities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Activated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Validation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Rollback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A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Non-Production</w:t>
            </w:r>
          </w:p>
        </w:tc>
        <w:tc>
          <w:tcPr/>
          <w:p>
            <w:pPr>
              <w:pStyle w:val="Compact"/>
            </w:pPr>
            <w:r>
              <w:t xml:space="preserve">Development and</w:t>
            </w:r>
            <w:r>
              <w:t xml:space="preserve"> </w:t>
            </w:r>
            <w:r>
              <w:t xml:space="preserve">test servers</w:t>
            </w:r>
            <w:r>
              <w:t xml:space="preserve"> </w:t>
            </w:r>
            <w:r>
              <w:t xml:space="preserve">(5–10 servers);</w:t>
            </w:r>
            <w:r>
              <w:t xml:space="preserve"> </w:t>
            </w:r>
            <w:r>
              <w:t xml:space="preserve">representative</w:t>
            </w:r>
            <w:r>
              <w:t xml:space="preserve"> </w:t>
            </w:r>
            <w:r>
              <w:t xml:space="preserve">OS versions and</w:t>
            </w:r>
            <w:r>
              <w:t xml:space="preserve"> </w:t>
            </w:r>
            <w:r>
              <w:t xml:space="preserve">roles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subscription</w:t>
            </w:r>
            <w:r>
              <w:t xml:space="preserve"> </w:t>
            </w:r>
            <w:r>
              <w:t xml:space="preserve">provisioned;</w:t>
            </w:r>
            <w:r>
              <w:t xml:space="preserve"> </w:t>
            </w:r>
            <w:r>
              <w:t xml:space="preserve">Resource Group</w:t>
            </w:r>
            <w:r>
              <w:t xml:space="preserve"> </w:t>
            </w:r>
            <w:r>
              <w:t xml:space="preserve">created; network</w:t>
            </w:r>
            <w:r>
              <w:t xml:space="preserve"> </w:t>
            </w:r>
            <w:r>
              <w:t xml:space="preserve">connectivity</w:t>
            </w:r>
            <w:r>
              <w:t xml:space="preserve"> </w:t>
            </w:r>
            <w:r>
              <w:t xml:space="preserve">validated (outbound</w:t>
            </w:r>
            <w:r>
              <w:t xml:space="preserve"> </w:t>
            </w:r>
            <w:r>
              <w:t xml:space="preserve">HTTPS to Azure</w:t>
            </w:r>
            <w:r>
              <w:t xml:space="preserve"> </w:t>
            </w:r>
            <w:r>
              <w:t xml:space="preserve">endpoints);</w:t>
            </w:r>
            <w:r>
              <w:t xml:space="preserve"> </w:t>
            </w:r>
            <w:r>
              <w:t xml:space="preserve">Connected Machine</w:t>
            </w:r>
            <w:r>
              <w:t xml:space="preserve"> </w:t>
            </w:r>
            <w:r>
              <w:t xml:space="preserve">Agent package</w:t>
            </w:r>
            <w:r>
              <w:t xml:space="preserve"> </w:t>
            </w:r>
            <w:r>
              <w:t xml:space="preserve">tested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Update</w:t>
            </w:r>
            <w:r>
              <w:t xml:space="preserve"> </w:t>
            </w:r>
            <w:r>
              <w:t xml:space="preserve">Manager</w:t>
            </w:r>
            <w:r>
              <w:t xml:space="preserve"> </w:t>
            </w:r>
            <w:r>
              <w:t xml:space="preserve">(assessment</w:t>
            </w:r>
            <w:r>
              <w:t xml:space="preserve"> </w:t>
            </w:r>
            <w:r>
              <w:t xml:space="preserve">only); Change</w:t>
            </w:r>
            <w:r>
              <w:t xml:space="preserve"> </w:t>
            </w:r>
            <w:r>
              <w:t xml:space="preserve">Tracking;</w:t>
            </w:r>
            <w:r>
              <w:t xml:space="preserve"> </w:t>
            </w:r>
            <w:r>
              <w:t xml:space="preserve">Windows Admin</w:t>
            </w:r>
            <w:r>
              <w:t xml:space="preserve"> </w:t>
            </w:r>
            <w:r>
              <w:t xml:space="preserve">Center; Azure</w:t>
            </w:r>
            <w:r>
              <w:t xml:space="preserve"> </w:t>
            </w:r>
            <w:r>
              <w:t xml:space="preserve">Policy (audit</w:t>
            </w:r>
            <w:r>
              <w:t xml:space="preserve"> </w:t>
            </w:r>
            <w:r>
              <w:t xml:space="preserve">mode); Azure</w:t>
            </w:r>
            <w:r>
              <w:t xml:space="preserve"> </w:t>
            </w:r>
            <w:r>
              <w:t xml:space="preserve">Monitor 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target</w:t>
            </w:r>
            <w:r>
              <w:t xml:space="preserve"> </w:t>
            </w:r>
            <w:r>
              <w:t xml:space="preserve">servers</w:t>
            </w:r>
            <w:r>
              <w:t xml:space="preserve"> </w:t>
            </w:r>
            <w:r>
              <w:t xml:space="preserve">reporting in</w:t>
            </w:r>
            <w:r>
              <w:t xml:space="preserve"> </w:t>
            </w:r>
            <w:r>
              <w:t xml:space="preserve">Azure portal;</w:t>
            </w:r>
            <w:r>
              <w:t xml:space="preserve"> </w:t>
            </w:r>
            <w:r>
              <w:t xml:space="preserve">Update Manager</w:t>
            </w:r>
            <w:r>
              <w:t xml:space="preserve"> </w:t>
            </w:r>
            <w:r>
              <w:t xml:space="preserve">assessment data</w:t>
            </w:r>
            <w:r>
              <w:t xml:space="preserve"> </w:t>
            </w:r>
            <w:r>
              <w:t xml:space="preserve">populated;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established; no</w:t>
            </w:r>
            <w:r>
              <w:t xml:space="preserve"> </w:t>
            </w:r>
            <w:r>
              <w:t xml:space="preserve">agent stability</w:t>
            </w:r>
            <w:r>
              <w:t xml:space="preserve"> </w:t>
            </w:r>
            <w:r>
              <w:t xml:space="preserve">issues over</w:t>
            </w:r>
            <w:r>
              <w:t xml:space="preserve"> </w:t>
            </w:r>
            <w:r>
              <w:t xml:space="preserve">14-day</w:t>
            </w:r>
            <w:r>
              <w:t xml:space="preserve"> </w:t>
            </w:r>
            <w:r>
              <w:t xml:space="preserve">observation</w:t>
            </w:r>
            <w:r>
              <w:t xml:space="preserve"> </w:t>
            </w:r>
            <w:r>
              <w:t xml:space="preserve">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Uninstall</w:t>
            </w:r>
            <w:r>
              <w:t xml:space="preserve"> </w:t>
            </w:r>
            <w:r>
              <w:t xml:space="preserve">Connected</w:t>
            </w:r>
            <w:r>
              <w:t xml:space="preserve"> </w:t>
            </w:r>
            <w:r>
              <w:t xml:space="preserve">Machine Agent;</w:t>
            </w:r>
            <w:r>
              <w:t xml:space="preserve"> </w:t>
            </w:r>
            <w:r>
              <w:t xml:space="preserve">remove Azure</w:t>
            </w:r>
            <w:r>
              <w:t xml:space="preserve"> </w:t>
            </w:r>
            <w:r>
              <w:t xml:space="preserve">resource record;</w:t>
            </w:r>
            <w:r>
              <w:t xml:space="preserve"> </w:t>
            </w:r>
            <w:r>
              <w:t xml:space="preserve">restore to</w:t>
            </w:r>
            <w:r>
              <w:t xml:space="preserve"> </w:t>
            </w:r>
            <w:r>
              <w:t xml:space="preserve">pre-enrollment</w:t>
            </w:r>
            <w:r>
              <w:t xml:space="preserve"> </w:t>
            </w:r>
            <w:r>
              <w:t xml:space="preserve">state. No</w:t>
            </w:r>
            <w:r>
              <w:t xml:space="preserve"> </w:t>
            </w:r>
            <w:r>
              <w:t xml:space="preserve">production</w:t>
            </w:r>
            <w:r>
              <w:t xml:space="preserve"> </w:t>
            </w:r>
            <w:r>
              <w:t xml:space="preserve">impact —</w:t>
            </w:r>
            <w:r>
              <w:t xml:space="preserve"> </w:t>
            </w:r>
            <w:r>
              <w:t xml:space="preserve">non-production</w:t>
            </w:r>
            <w:r>
              <w:t xml:space="preserve"> </w:t>
            </w:r>
            <w:r>
              <w:t xml:space="preserve">scope only.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B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Production Pilot</w:t>
            </w:r>
          </w:p>
        </w:tc>
        <w:tc>
          <w:tcPr/>
          <w:p>
            <w:pPr>
              <w:pStyle w:val="Compact"/>
            </w:pPr>
            <w:r>
              <w:t xml:space="preserve">10–25</w:t>
            </w:r>
            <w:r>
              <w:t xml:space="preserve"> </w:t>
            </w:r>
            <w:r>
              <w:t xml:space="preserve">production</w:t>
            </w:r>
            <w:r>
              <w:t xml:space="preserve"> </w:t>
            </w:r>
            <w:r>
              <w:t xml:space="preserve">servers;</w:t>
            </w:r>
            <w:r>
              <w:t xml:space="preserve"> </w:t>
            </w:r>
            <w:r>
              <w:t xml:space="preserve">selected</w:t>
            </w:r>
            <w:r>
              <w:t xml:space="preserve"> </w:t>
            </w:r>
            <w:r>
              <w:t xml:space="preserve">critical roles</w:t>
            </w:r>
            <w:r>
              <w:t xml:space="preserve"> </w:t>
            </w:r>
            <w:r>
              <w:t xml:space="preserve">(file server,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server, database</w:t>
            </w:r>
            <w:r>
              <w:t xml:space="preserve"> </w:t>
            </w:r>
            <w:r>
              <w:t xml:space="preserve">server);</w:t>
            </w:r>
            <w:r>
              <w:t xml:space="preserve"> </w:t>
            </w:r>
            <w:r>
              <w:t xml:space="preserve">representative</w:t>
            </w:r>
            <w:r>
              <w:t xml:space="preserve"> </w:t>
            </w:r>
            <w:r>
              <w:t xml:space="preserve">of production</w:t>
            </w:r>
            <w:r>
              <w:t xml:space="preserve"> </w:t>
            </w:r>
            <w:r>
              <w:t xml:space="preserve">estate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A complete</w:t>
            </w:r>
            <w:r>
              <w:t xml:space="preserve"> </w:t>
            </w:r>
            <w:r>
              <w:t xml:space="preserve">and validated;</w:t>
            </w:r>
            <w:r>
              <w:t xml:space="preserve"> </w:t>
            </w:r>
            <w:r>
              <w:t xml:space="preserve">production network</w:t>
            </w:r>
            <w:r>
              <w:t xml:space="preserve"> </w:t>
            </w:r>
            <w:r>
              <w:t xml:space="preserve">firewall rules</w:t>
            </w:r>
            <w:r>
              <w:t xml:space="preserve"> </w:t>
            </w:r>
            <w:r>
              <w:t xml:space="preserve">confirmed; change</w:t>
            </w:r>
            <w:r>
              <w:t xml:space="preserve"> </w:t>
            </w:r>
            <w:r>
              <w:t xml:space="preserve">management approval</w:t>
            </w:r>
            <w:r>
              <w:t xml:space="preserve"> </w:t>
            </w:r>
            <w:r>
              <w:t xml:space="preserve">obtained;</w:t>
            </w:r>
            <w:r>
              <w:t xml:space="preserve"> </w:t>
            </w:r>
            <w:r>
              <w:t xml:space="preserve">monitoring alerts</w:t>
            </w:r>
            <w:r>
              <w:t xml:space="preserve"> </w:t>
            </w:r>
            <w:r>
              <w:t xml:space="preserve">configured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Update</w:t>
            </w:r>
            <w:r>
              <w:t xml:space="preserve"> </w:t>
            </w:r>
            <w:r>
              <w:t xml:space="preserve">Manager</w:t>
            </w:r>
            <w:r>
              <w:t xml:space="preserve"> </w:t>
            </w:r>
            <w:r>
              <w:t xml:space="preserve">(assessment +</w:t>
            </w:r>
            <w:r>
              <w:t xml:space="preserve"> </w:t>
            </w:r>
            <w:r>
              <w:t xml:space="preserve">scheduled</w:t>
            </w:r>
            <w:r>
              <w:t xml:space="preserve"> </w:t>
            </w:r>
            <w:r>
              <w:t xml:space="preserve">patching);</w:t>
            </w:r>
            <w:r>
              <w:t xml:space="preserve"> </w:t>
            </w:r>
            <w:r>
              <w:t xml:space="preserve">Change Tracking;</w:t>
            </w:r>
            <w:r>
              <w:t xml:space="preserve"> </w:t>
            </w:r>
            <w:r>
              <w:t xml:space="preserve">Windows Admin</w:t>
            </w:r>
            <w:r>
              <w:t xml:space="preserve"> </w:t>
            </w:r>
            <w:r>
              <w:t xml:space="preserve">Center; Azure</w:t>
            </w:r>
            <w:r>
              <w:t xml:space="preserve"> </w:t>
            </w:r>
            <w:r>
              <w:t xml:space="preserve">Policy (audit +</w:t>
            </w:r>
            <w:r>
              <w:t xml:space="preserve"> </w:t>
            </w:r>
            <w:r>
              <w:t xml:space="preserve">selected</w:t>
            </w:r>
            <w:r>
              <w:t xml:space="preserve"> </w:t>
            </w:r>
            <w:r>
              <w:t xml:space="preserve">enforcement);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Servers</w:t>
            </w:r>
            <w:r>
              <w:t xml:space="preserve"> </w:t>
            </w:r>
            <w:r>
              <w:t xml:space="preserve">onboarding (Plan</w:t>
            </w:r>
            <w:r>
              <w:t xml:space="preserve"> </w:t>
            </w:r>
            <w:r>
              <w:t xml:space="preserve">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Patching</w:t>
            </w:r>
            <w:r>
              <w:t xml:space="preserve"> </w:t>
            </w:r>
            <w:r>
              <w:t xml:space="preserve">executed</w:t>
            </w:r>
            <w:r>
              <w:t xml:space="preserve"> </w:t>
            </w:r>
            <w:r>
              <w:t xml:space="preserve">successfully via</w:t>
            </w:r>
            <w:r>
              <w:t xml:space="preserve"> </w:t>
            </w:r>
            <w:r>
              <w:t xml:space="preserve">Update Manager;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alerts</w:t>
            </w:r>
            <w:r>
              <w:t xml:space="preserve"> </w:t>
            </w:r>
            <w:r>
              <w:t xml:space="preserve">validated; Azure</w:t>
            </w:r>
            <w:r>
              <w:t xml:space="preserve"> </w:t>
            </w:r>
            <w:r>
              <w:t xml:space="preserve">Policy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reporting</w:t>
            </w:r>
            <w:r>
              <w:t xml:space="preserve"> </w:t>
            </w:r>
            <w:r>
              <w:t xml:space="preserve">accurate;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Servers alerts</w:t>
            </w:r>
            <w:r>
              <w:t xml:space="preserve"> </w:t>
            </w:r>
            <w:r>
              <w:t xml:space="preserve">generating</w:t>
            </w:r>
            <w:r>
              <w:t xml:space="preserve"> </w:t>
            </w:r>
            <w:r>
              <w:t xml:space="preserve">correctly; no</w:t>
            </w:r>
            <w:r>
              <w:t xml:space="preserve"> </w:t>
            </w:r>
            <w:r>
              <w:t xml:space="preserve">production</w:t>
            </w:r>
            <w:r>
              <w:t xml:space="preserve"> </w:t>
            </w:r>
            <w:r>
              <w:t xml:space="preserve">service</w:t>
            </w:r>
            <w:r>
              <w:t xml:space="preserve"> </w:t>
            </w:r>
            <w:r>
              <w:t xml:space="preserve">disruption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Uninstall</w:t>
            </w:r>
            <w:r>
              <w:t xml:space="preserve"> </w:t>
            </w:r>
            <w:r>
              <w:t xml:space="preserve">Connected</w:t>
            </w:r>
            <w:r>
              <w:t xml:space="preserve"> </w:t>
            </w:r>
            <w:r>
              <w:t xml:space="preserve">Machine Agent</w:t>
            </w:r>
            <w:r>
              <w:t xml:space="preserve"> </w:t>
            </w:r>
            <w:r>
              <w:t xml:space="preserve">from affected</w:t>
            </w:r>
            <w:r>
              <w:t xml:space="preserve"> </w:t>
            </w:r>
            <w:r>
              <w:t xml:space="preserve">servers; revert</w:t>
            </w:r>
            <w:r>
              <w:t xml:space="preserve"> </w:t>
            </w:r>
            <w:r>
              <w:t xml:space="preserve">to legacy</w:t>
            </w:r>
            <w:r>
              <w:t xml:space="preserve"> </w:t>
            </w:r>
            <w:r>
              <w:t xml:space="preserve">patching</w:t>
            </w:r>
            <w:r>
              <w:t xml:space="preserve"> </w:t>
            </w:r>
            <w:r>
              <w:t xml:space="preserve">(WSUS/SCCM);</w:t>
            </w:r>
            <w:r>
              <w:t xml:space="preserve"> </w:t>
            </w:r>
            <w:r>
              <w:t xml:space="preserve">restore</w:t>
            </w:r>
            <w:r>
              <w:t xml:space="preserve"> </w:t>
            </w:r>
            <w:r>
              <w:t xml:space="preserve">monitoring to</w:t>
            </w:r>
            <w:r>
              <w:t xml:space="preserve"> </w:t>
            </w:r>
            <w:r>
              <w:t xml:space="preserve">legacy tooling.</w:t>
            </w:r>
            <w:r>
              <w:t xml:space="preserve"> </w:t>
            </w:r>
            <w:r>
              <w:t xml:space="preserve">Incident review</w:t>
            </w:r>
            <w:r>
              <w:t xml:space="preserve"> </w:t>
            </w:r>
            <w:r>
              <w:t xml:space="preserve">before</w:t>
            </w:r>
            <w:r>
              <w:t xml:space="preserve"> </w:t>
            </w:r>
            <w:r>
              <w:t xml:space="preserve">proceeding.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C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Production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Expansion</w:t>
            </w:r>
          </w:p>
        </w:tc>
        <w:tc>
          <w:tcPr/>
          <w:p>
            <w:pPr>
              <w:pStyle w:val="Compact"/>
            </w:pPr>
            <w:r>
              <w:t xml:space="preserve">All remaining</w:t>
            </w:r>
            <w:r>
              <w:t xml:space="preserve"> </w:t>
            </w:r>
            <w:r>
              <w:t xml:space="preserve">production</w:t>
            </w:r>
            <w:r>
              <w:t xml:space="preserve"> </w:t>
            </w:r>
            <w:r>
              <w:t xml:space="preserve">servers; full</w:t>
            </w:r>
            <w:r>
              <w:t xml:space="preserve"> </w:t>
            </w:r>
            <w:r>
              <w:t xml:space="preserve">server estate</w:t>
            </w:r>
            <w:r>
              <w:t xml:space="preserve"> </w:t>
            </w:r>
            <w:r>
              <w:t xml:space="preserve">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B complete</w:t>
            </w:r>
            <w:r>
              <w:t xml:space="preserve"> </w:t>
            </w:r>
            <w:r>
              <w:t xml:space="preserve">and validated over</w:t>
            </w:r>
            <w:r>
              <w:t xml:space="preserve"> </w:t>
            </w:r>
            <w:r>
              <w:t xml:space="preserve">30-day observation;</w:t>
            </w:r>
            <w:r>
              <w:t xml:space="preserve"> </w:t>
            </w:r>
            <w:r>
              <w:t xml:space="preserve">legacy agent</w:t>
            </w:r>
            <w:r>
              <w:t xml:space="preserve"> </w:t>
            </w:r>
            <w:r>
              <w:t xml:space="preserve">decommission plan</w:t>
            </w:r>
            <w:r>
              <w:t xml:space="preserve"> </w:t>
            </w:r>
            <w:r>
              <w:t xml:space="preserve">approved;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runbooks updated</w:t>
            </w:r>
            <w:r>
              <w:t xml:space="preserve"> </w:t>
            </w:r>
            <w:r>
              <w:t xml:space="preserve">for Arc-based</w:t>
            </w:r>
            <w:r>
              <w:t xml:space="preserve"> </w:t>
            </w: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management</w:t>
            </w:r>
            <w:r>
              <w:t xml:space="preserve"> </w:t>
            </w:r>
            <w:r>
              <w:t xml:space="preserve">suite: Update</w:t>
            </w:r>
            <w:r>
              <w:t xml:space="preserve"> </w:t>
            </w:r>
            <w:r>
              <w:t xml:space="preserve">Manager, Change</w:t>
            </w:r>
            <w:r>
              <w:t xml:space="preserve"> </w:t>
            </w:r>
            <w:r>
              <w:t xml:space="preserve">Tracking,</w:t>
            </w:r>
            <w:r>
              <w:t xml:space="preserve"> </w:t>
            </w:r>
            <w:r>
              <w:t xml:space="preserve">Windows Admin</w:t>
            </w:r>
            <w:r>
              <w:t xml:space="preserve"> </w:t>
            </w:r>
            <w:r>
              <w:t xml:space="preserve">Center, Azure</w:t>
            </w:r>
            <w:r>
              <w:t xml:space="preserve"> </w:t>
            </w:r>
            <w:r>
              <w:t xml:space="preserve">Policy</w:t>
            </w:r>
            <w:r>
              <w:t xml:space="preserve"> </w:t>
            </w:r>
            <w:r>
              <w:t xml:space="preserve">(enforcement),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Servers, Azure</w:t>
            </w:r>
            <w:r>
              <w:t xml:space="preserve"> </w:t>
            </w:r>
            <w:r>
              <w:t xml:space="preserve">Monitor (full</w:t>
            </w:r>
            <w:r>
              <w:t xml:space="preserve"> </w:t>
            </w:r>
            <w:r>
              <w:t xml:space="preserve">telemetry)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server</w:t>
            </w:r>
            <w:r>
              <w:t xml:space="preserve"> </w:t>
            </w:r>
            <w:r>
              <w:t xml:space="preserve">estate enrolled</w:t>
            </w:r>
            <w:r>
              <w:t xml:space="preserve"> </w:t>
            </w:r>
            <w:r>
              <w:t xml:space="preserve">and reporting;</w:t>
            </w:r>
            <w:r>
              <w:t xml:space="preserve"> </w:t>
            </w:r>
            <w:r>
              <w:t xml:space="preserve">Update Manager</w:t>
            </w:r>
            <w:r>
              <w:t xml:space="preserve"> </w:t>
            </w:r>
            <w:r>
              <w:t xml:space="preserve">compliance ≥95%;</w:t>
            </w:r>
            <w:r>
              <w:t xml:space="preserve"> </w:t>
            </w:r>
            <w:r>
              <w:t xml:space="preserve">Change Tracking</w:t>
            </w:r>
            <w:r>
              <w:t xml:space="preserve"> </w:t>
            </w:r>
            <w:r>
              <w:t xml:space="preserve">operational;</w:t>
            </w:r>
            <w:r>
              <w:t xml:space="preserve"> </w:t>
            </w:r>
            <w:r>
              <w:t xml:space="preserve">Azure Policy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baselines met;</w:t>
            </w:r>
            <w:r>
              <w:t xml:space="preserve"> </w:t>
            </w:r>
            <w:r>
              <w:t xml:space="preserve">legacy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agents</w:t>
            </w:r>
            <w:r>
              <w:t xml:space="preserve"> </w:t>
            </w:r>
            <w:r>
              <w:t xml:space="preserve">decommissioned</w:t>
            </w:r>
            <w:r>
              <w:t xml:space="preserve"> </w:t>
            </w:r>
            <w:r>
              <w:t xml:space="preserve">from Phase A/B</w:t>
            </w:r>
            <w:r>
              <w:t xml:space="preserve"> </w:t>
            </w:r>
            <w:r>
              <w:t xml:space="preserve">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Phase-specific</w:t>
            </w:r>
            <w:r>
              <w:t xml:space="preserve"> </w:t>
            </w:r>
            <w:r>
              <w:t xml:space="preserve">rollback:</w:t>
            </w:r>
            <w:r>
              <w:t xml:space="preserve"> </w:t>
            </w:r>
            <w:r>
              <w:t xml:space="preserve">unenroll servers</w:t>
            </w:r>
            <w:r>
              <w:t xml:space="preserve"> </w:t>
            </w:r>
            <w:r>
              <w:t xml:space="preserve">by batch; legacy</w:t>
            </w:r>
            <w:r>
              <w:t xml:space="preserve"> </w:t>
            </w:r>
            <w:r>
              <w:t xml:space="preserve">agents remain</w:t>
            </w:r>
            <w:r>
              <w:t xml:space="preserve"> </w:t>
            </w:r>
            <w:r>
              <w:t xml:space="preserve">installed until</w:t>
            </w:r>
            <w:r>
              <w:t xml:space="preserve"> </w:t>
            </w:r>
            <w:r>
              <w:t xml:space="preserve">full validation.</w:t>
            </w:r>
            <w:r>
              <w:t xml:space="preserve"> </w:t>
            </w:r>
            <w:r>
              <w:t xml:space="preserve">Rollback scope</w:t>
            </w:r>
            <w:r>
              <w:t xml:space="preserve"> </w:t>
            </w:r>
            <w:r>
              <w:t xml:space="preserve">limited to</w:t>
            </w:r>
            <w:r>
              <w:t xml:space="preserve"> </w:t>
            </w:r>
            <w:r>
              <w:t xml:space="preserve">current batch.</w:t>
            </w:r>
          </w:p>
        </w:tc>
      </w:tr>
    </w:tbl>
    <w:bookmarkEnd w:id="50"/>
    <w:bookmarkEnd w:id="51"/>
    <w:bookmarkStart w:id="57" w:name="Xd96cc889bfc07aeed322ce1fd8d3a17bd03957c"/>
    <w:p>
      <w:pPr>
        <w:pStyle w:val="Heading1"/>
      </w:pPr>
      <w:r>
        <w:t xml:space="preserve">Section 8: Boundary Resolution — Potential and In Progress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Warning — Active Assessment</w:t>
            </w:r>
          </w:p>
          <w:p>
            <w:pPr>
              <w:pStyle w:val="BodyText"/>
            </w:pPr>
            <w:r>
              <w:t xml:space="preserve">Boundary resolution is</w:t>
            </w:r>
            <w:r>
              <w:t xml:space="preserve"> </w:t>
            </w:r>
            <w:r>
              <w:rPr>
                <w:b/>
                <w:bCs/>
              </w:rPr>
              <w:t xml:space="preserve">POTENTIAL and IN PROGRESS</w:t>
            </w:r>
            <w:r>
              <w:t xml:space="preserve"> </w:t>
            </w:r>
            <w:r>
              <w:t xml:space="preserve">— not</w:t>
            </w:r>
            <w:r>
              <w:t xml:space="preserve"> </w:t>
            </w:r>
            <w:r>
              <w:t xml:space="preserve">resolved or determined. This section documents the current state of</w:t>
            </w:r>
            <w:r>
              <w:t xml:space="preserve"> </w:t>
            </w:r>
            <w:r>
              <w:t xml:space="preserve">boundary assessment, identifies known intersections, and establishes</w:t>
            </w:r>
            <w:r>
              <w:t xml:space="preserve"> </w:t>
            </w:r>
            <w:r>
              <w:t xml:space="preserve">the framework for resolution. No boundary decisions documented</w:t>
            </w:r>
            <w:r>
              <w:t xml:space="preserve"> </w:t>
            </w:r>
            <w:r>
              <w:t xml:space="preserve">herein should be treated as finalized. This corrects any earlier</w:t>
            </w:r>
            <w:r>
              <w:t xml:space="preserve"> </w:t>
            </w:r>
            <w:r>
              <w:t xml:space="preserve">interpretation that treated boundary resolution as a settled matter.</w:t>
            </w:r>
          </w:p>
        </w:tc>
      </w:tr>
    </w:tbl>
    <w:bookmarkStart w:id="52" w:name="boundary-definition"/>
    <w:p>
      <w:pPr>
        <w:pStyle w:val="Heading2"/>
      </w:pPr>
      <w:r>
        <w:t xml:space="preserve">8.1 Boundary Definition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GCC-Moderate boundary</w:t>
      </w:r>
      <w:r>
        <w:t xml:space="preserve"> </w:t>
      </w:r>
      <w:r>
        <w:t xml:space="preserve">applies to Microsoft 365 SaaS services</w:t>
      </w:r>
      <w:r>
        <w:t xml:space="preserve"> </w:t>
      </w:r>
      <w:r>
        <w:t xml:space="preserve">only. This includes: Exchange Online, SharePoint Online, OneDrive for</w:t>
      </w:r>
      <w:r>
        <w:t xml:space="preserve"> </w:t>
      </w:r>
      <w:r>
        <w:t xml:space="preserve">Business, Microsoft Teams, Power Platform (Power BI, Power Apps, Power</w:t>
      </w:r>
      <w:r>
        <w:t xml:space="preserve"> </w:t>
      </w:r>
      <w:r>
        <w:t xml:space="preserve">Automate), Microsoft Intune, Microsoft Entra ID (as the identity</w:t>
      </w:r>
      <w:r>
        <w:t xml:space="preserve"> </w:t>
      </w:r>
      <w:r>
        <w:t xml:space="preserve">provider for M365), and Microsoft Defender for Office 365. Azure</w:t>
      </w:r>
      <w:r>
        <w:t xml:space="preserve"> </w:t>
      </w:r>
      <w:r>
        <w:t xml:space="preserve">services — including Azure Arc, Azure Policy, Azure Monitor, Azure</w:t>
      </w:r>
      <w:r>
        <w:t xml:space="preserve"> </w:t>
      </w:r>
      <w:r>
        <w:t xml:space="preserve">Update Manager, and all Azure IaaS/PaaS offerings — operate in</w:t>
      </w:r>
      <w:r>
        <w:t xml:space="preserve"> </w:t>
      </w:r>
      <w:r>
        <w:rPr>
          <w:b/>
          <w:bCs/>
        </w:rPr>
        <w:t xml:space="preserve">Commercial Cloud governed by FedRAMP</w:t>
      </w:r>
      <w:r>
        <w:t xml:space="preserve">. This distinction is canonical.</w:t>
      </w:r>
    </w:p>
    <w:p>
      <w:pPr>
        <w:pStyle w:val="BodyText"/>
      </w:pPr>
      <w:r>
        <w:t xml:space="preserve">UIAO operates in</w:t>
      </w:r>
      <w:r>
        <w:t xml:space="preserve"> </w:t>
      </w:r>
      <w:r>
        <w:rPr>
          <w:b/>
          <w:bCs/>
        </w:rPr>
        <w:t xml:space="preserve">Commercial Cloud as governed by FedRAMP</w:t>
      </w:r>
      <w:r>
        <w:t xml:space="preserve"> </w:t>
      </w:r>
      <w:r>
        <w:t xml:space="preserve">unless</w:t>
      </w:r>
      <w:r>
        <w:t xml:space="preserve"> </w:t>
      </w:r>
      <w:r>
        <w:t xml:space="preserve">specifically noted.</w:t>
      </w:r>
      <w:r>
        <w:t xml:space="preserve"> </w:t>
      </w:r>
      <w:r>
        <w:rPr>
          <w:b/>
          <w:bCs/>
        </w:rPr>
        <w:t xml:space="preserve">Amazon Connect Contact Center</w:t>
      </w:r>
      <w:r>
        <w:t xml:space="preserve"> </w:t>
      </w:r>
      <w:r>
        <w:t xml:space="preserve">is an explicit</w:t>
      </w:r>
      <w:r>
        <w:t xml:space="preserve"> </w:t>
      </w:r>
      <w:r>
        <w:t xml:space="preserve">exception running in Commercial Cloud outside the Microsoft ecosystem.</w:t>
      </w:r>
      <w:r>
        <w:t xml:space="preserve"> </w:t>
      </w:r>
      <w:r>
        <w:t xml:space="preserve">This boundary definition will remain in effect until formally revised</w:t>
      </w:r>
      <w:r>
        <w:t xml:space="preserve"> </w:t>
      </w:r>
      <w:r>
        <w:t xml:space="preserve">through UIAO Canon governance processes.</w:t>
      </w:r>
    </w:p>
    <w:bookmarkEnd w:id="52"/>
    <w:bookmarkStart w:id="53" w:name="boundary-resolution-scope"/>
    <w:p>
      <w:pPr>
        <w:pStyle w:val="Heading2"/>
      </w:pPr>
      <w:r>
        <w:t xml:space="preserve">8.2 Boundary Resolution Scope</w:t>
      </w:r>
    </w:p>
    <w:p>
      <w:pPr>
        <w:pStyle w:val="FirstParagraph"/>
      </w:pPr>
      <w:r>
        <w:rPr>
          <w:b/>
          <w:bCs/>
        </w:rPr>
        <w:t xml:space="preserve">Boundary resolution</w:t>
      </w:r>
      <w:r>
        <w:t xml:space="preserve"> </w:t>
      </w:r>
      <w:r>
        <w:t xml:space="preserve">refers to the ongoing assessment of where</w:t>
      </w:r>
      <w:r>
        <w:t xml:space="preserve"> </w:t>
      </w:r>
      <w:r>
        <w:t xml:space="preserve">governance boundaries intersect, overlap, or create gaps between M365</w:t>
      </w:r>
      <w:r>
        <w:t xml:space="preserve"> </w:t>
      </w:r>
      <w:r>
        <w:t xml:space="preserve">GCC-Moderate services and Azure Commercial services. This is an active</w:t>
      </w:r>
      <w:r>
        <w:t xml:space="preserve"> </w:t>
      </w:r>
      <w:r>
        <w:t xml:space="preserve">area of assessment — a continuous work stream throughout Phase 1</w:t>
      </w:r>
      <w:r>
        <w:t xml:space="preserve"> </w:t>
      </w:r>
      <w:r>
        <w:t xml:space="preserve">(Sequence Step 9) — not a deliverable with a single completion date.</w:t>
      </w:r>
    </w:p>
    <w:bookmarkEnd w:id="53"/>
    <w:bookmarkStart w:id="54" w:name="key-boundary-questions-under-assessment"/>
    <w:p>
      <w:pPr>
        <w:pStyle w:val="Heading2"/>
      </w:pPr>
      <w:r>
        <w:t xml:space="preserve">8.3 Key Boundary Questions Under Assessment</w:t>
      </w:r>
    </w:p>
    <w:p>
      <w:pPr>
        <w:pStyle w:val="FirstParagraph"/>
      </w:pPr>
      <w:r>
        <w:t xml:space="preserve">The following boundary intersection questions are actively under</w:t>
      </w:r>
      <w:r>
        <w:t xml:space="preserve"> </w:t>
      </w:r>
      <w:r>
        <w:t xml:space="preserve">assessment. None are resolved as of this pre-release: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Device identity intersection:</w:t>
      </w:r>
      <w:r>
        <w:t xml:space="preserve"> </w:t>
      </w:r>
      <w:r>
        <w:t xml:space="preserve">How does device identity in Entra ID</w:t>
      </w:r>
      <w:r>
        <w:t xml:space="preserve"> </w:t>
      </w:r>
      <w:r>
        <w:t xml:space="preserve">(GCC-Moderate) interact with Azure Arc-enrolled servers (Commercial)?</w:t>
      </w:r>
      <w:r>
        <w:t xml:space="preserve"> </w:t>
      </w:r>
      <w:r>
        <w:t xml:space="preserve">When Entra ID is the identity authority for both M365 access and Azure</w:t>
      </w:r>
      <w:r>
        <w:t xml:space="preserve"> </w:t>
      </w:r>
      <w:r>
        <w:t xml:space="preserve">resource management, where does the governance boundary lie for device</w:t>
      </w:r>
      <w:r>
        <w:t xml:space="preserve"> </w:t>
      </w:r>
      <w:r>
        <w:t xml:space="preserve">objects that exist in both contexts?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Conditional Access policy span:</w:t>
      </w:r>
      <w:r>
        <w:t xml:space="preserve"> </w:t>
      </w:r>
      <w:r>
        <w:t xml:space="preserve">How do Conditional Access policies</w:t>
      </w:r>
      <w:r>
        <w:t xml:space="preserve"> </w:t>
      </w:r>
      <w:r>
        <w:t xml:space="preserve">that evaluate device compliance (assessed via Intune in GCC-Moderate)</w:t>
      </w:r>
      <w:r>
        <w:t xml:space="preserve"> </w:t>
      </w:r>
      <w:r>
        <w:t xml:space="preserve">interact with Azure resource access (Commercial)? Can a single</w:t>
      </w:r>
      <w:r>
        <w:t xml:space="preserve"> </w:t>
      </w:r>
      <w:r>
        <w:t xml:space="preserve">Conditional Access policy coherently span both environments without</w:t>
      </w:r>
      <w:r>
        <w:t xml:space="preserve"> </w:t>
      </w:r>
      <w:r>
        <w:t xml:space="preserve">creating compliance ambiguity?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SCuBA and Azure Policy alignment:</w:t>
      </w:r>
      <w:r>
        <w:t xml:space="preserve"> </w:t>
      </w:r>
      <w:r>
        <w:t xml:space="preserve">How does SCuBA baseline</w:t>
      </w:r>
      <w:r>
        <w:t xml:space="preserve"> </w:t>
      </w:r>
      <w:r>
        <w:t xml:space="preserve">enforcement in M365 (GCC-Moderate) relate to Azure Policy enforcement</w:t>
      </w:r>
      <w:r>
        <w:t xml:space="preserve"> </w:t>
      </w:r>
      <w:r>
        <w:t xml:space="preserve">on Arc-enrolled servers (Commercial)? Are there governance gaps where</w:t>
      </w:r>
      <w:r>
        <w:t xml:space="preserve"> </w:t>
      </w:r>
      <w:r>
        <w:t xml:space="preserve">a configuration assessed by SCuBA has dependencies on Azure Policy, or</w:t>
      </w:r>
      <w:r>
        <w:t xml:space="preserve"> </w:t>
      </w:r>
      <w:r>
        <w:t xml:space="preserve">vice versa?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Data residency and telemetry flow:</w:t>
      </w:r>
      <w:r>
        <w:t xml:space="preserve"> </w:t>
      </w:r>
      <w:r>
        <w:t xml:space="preserve">What telemetry, diagnostic, and</w:t>
      </w:r>
      <w:r>
        <w:t xml:space="preserve"> </w:t>
      </w:r>
      <w:r>
        <w:t xml:space="preserve">management data flows between GCC-Moderate M365 services and Azure</w:t>
      </w:r>
      <w:r>
        <w:t xml:space="preserve"> </w:t>
      </w:r>
      <w:r>
        <w:t xml:space="preserve">Commercial services? Are there data residency implications for</w:t>
      </w:r>
      <w:r>
        <w:t xml:space="preserve"> </w:t>
      </w:r>
      <w:r>
        <w:t xml:space="preserve">organizations subject to data sovereignty requirements?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Licensing and entitlement boundaries:</w:t>
      </w:r>
      <w:r>
        <w:t xml:space="preserve"> </w:t>
      </w:r>
      <w:r>
        <w:t xml:space="preserve">Do M365 GCC-Moderate license</w:t>
      </w:r>
      <w:r>
        <w:t xml:space="preserve"> </w:t>
      </w:r>
      <w:r>
        <w:t xml:space="preserve">entitlements (e.g., Intune, Defender) extend cleanly to Azure</w:t>
      </w:r>
      <w:r>
        <w:t xml:space="preserve"> </w:t>
      </w:r>
      <w:r>
        <w:t xml:space="preserve">Commercial services (e.g., Defender for Servers via Arc), or are</w:t>
      </w:r>
      <w:r>
        <w:t xml:space="preserve"> </w:t>
      </w:r>
      <w:r>
        <w:t xml:space="preserve">separate Azure entitlements required?</w:t>
      </w:r>
    </w:p>
    <w:bookmarkEnd w:id="54"/>
    <w:bookmarkStart w:id="55" w:name="boundary-documentation-requirements"/>
    <w:p>
      <w:pPr>
        <w:pStyle w:val="Heading2"/>
      </w:pPr>
      <w:r>
        <w:t xml:space="preserve">8.4 Boundary Documentation Requirements</w:t>
      </w:r>
    </w:p>
    <w:p>
      <w:pPr>
        <w:pStyle w:val="FirstParagraph"/>
      </w:pPr>
      <w:r>
        <w:t xml:space="preserve">Every identified boundary intersection must be documented in the</w:t>
      </w:r>
      <w:r>
        <w:t xml:space="preserve"> </w:t>
      </w:r>
      <w:r>
        <w:rPr>
          <w:b/>
          <w:bCs/>
        </w:rPr>
        <w:t xml:space="preserve">Boundary Assessment Register</w:t>
      </w:r>
      <w:r>
        <w:t xml:space="preserve"> </w:t>
      </w:r>
      <w:r>
        <w:t xml:space="preserve">with the following attributes:</w:t>
      </w:r>
      <w:r>
        <w:t xml:space="preserve"> </w:t>
      </w:r>
      <w:r>
        <w:t xml:space="preserve">intersection description, services involved (M365 and Azure), current</w:t>
      </w:r>
      <w:r>
        <w:t xml:space="preserve"> </w:t>
      </w:r>
      <w:r>
        <w:t xml:space="preserve">assessment status (Identified / Under Assessment / Assessed / Resolved),</w:t>
      </w:r>
      <w:r>
        <w:t xml:space="preserve"> </w:t>
      </w:r>
      <w:r>
        <w:t xml:space="preserve">responsible owner, target resolution date, and notes. The Boundary</w:t>
      </w:r>
      <w:r>
        <w:t xml:space="preserve"> </w:t>
      </w:r>
      <w:r>
        <w:t xml:space="preserve">Assessment Register is maintained in canon/ and reviewed during</w:t>
      </w:r>
      <w:r>
        <w:t xml:space="preserve"> </w:t>
      </w:r>
      <w:r>
        <w:t xml:space="preserve">governance cycles.</w:t>
      </w:r>
    </w:p>
    <w:bookmarkEnd w:id="55"/>
    <w:bookmarkStart w:id="56" w:name="table-7-boundary-assessment-status"/>
    <w:p>
      <w:pPr>
        <w:pStyle w:val="Heading2"/>
      </w:pPr>
      <w:r>
        <w:t xml:space="preserve">Table 7: Boundary Assessment Status</w:t>
      </w:r>
    </w:p>
    <w:tbl>
      <w:tblPr>
        <w:tblStyle w:val="Table"/>
        <w:tblW w:type="pct" w:w="4905"/>
        <w:tblLayout w:type="fixed"/>
        <w:tblLook w:firstRow="1" w:lastRow="0" w:firstColumn="0" w:lastColumn="0" w:noHBand="0" w:noVBand="0" w:val="0020"/>
      </w:tblPr>
      <w:tblGrid>
        <w:gridCol w:w="1282"/>
        <w:gridCol w:w="1659"/>
        <w:gridCol w:w="980"/>
        <w:gridCol w:w="1659"/>
        <w:gridCol w:w="980"/>
        <w:gridCol w:w="120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Boundary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Intersection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Services Involved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Current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Assessment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Responsible 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Resolution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ID device</w:t>
            </w:r>
            <w:r>
              <w:t xml:space="preserve"> </w:t>
            </w:r>
            <w:r>
              <w:t xml:space="preserve">identity —</w:t>
            </w:r>
            <w:r>
              <w:t xml:space="preserve"> </w:t>
            </w:r>
            <w:r>
              <w:t xml:space="preserve">M365 vs. Azure</w:t>
            </w:r>
            <w:r>
              <w:t xml:space="preserve"> </w:t>
            </w:r>
            <w:r>
              <w:t xml:space="preserve">resource access</w:t>
            </w:r>
          </w:p>
        </w:tc>
        <w:tc>
          <w:tcPr/>
          <w:p>
            <w:pPr>
              <w:pStyle w:val="Compact"/>
            </w:pPr>
            <w:r>
              <w:t xml:space="preserve">Microsoft Entra ID</w:t>
            </w:r>
            <w:r>
              <w:t xml:space="preserve"> </w:t>
            </w:r>
            <w:r>
              <w:t xml:space="preserve">(GCC-Moderate); Azure</w:t>
            </w:r>
            <w:r>
              <w:t xml:space="preserve"> </w:t>
            </w:r>
            <w:r>
              <w:t xml:space="preserve">Resource Manager</w:t>
            </w:r>
            <w:r>
              <w:t xml:space="preserve"> </w:t>
            </w:r>
            <w:r>
              <w:t xml:space="preserve">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Under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</w:pPr>
            <w:r>
              <w:t xml:space="preserve">[Identity Lead —</w:t>
            </w:r>
            <w:r>
              <w:t xml:space="preserve"> </w:t>
            </w:r>
            <w:r>
              <w:t xml:space="preserve">TBD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serves</w:t>
            </w:r>
            <w:r>
              <w:t xml:space="preserve"> </w:t>
            </w:r>
            <w:r>
              <w:t xml:space="preserve">as identity</w:t>
            </w:r>
            <w:r>
              <w:t xml:space="preserve"> </w:t>
            </w:r>
            <w:r>
              <w:t xml:space="preserve">provider for</w:t>
            </w:r>
            <w:r>
              <w:t xml:space="preserve"> </w:t>
            </w:r>
            <w:r>
              <w:t xml:space="preserve">both M365 and</w:t>
            </w:r>
            <w:r>
              <w:t xml:space="preserve"> </w:t>
            </w:r>
            <w:r>
              <w:t xml:space="preserve">Azure;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boundary for</w:t>
            </w:r>
            <w:r>
              <w:t xml:space="preserve"> </w:t>
            </w:r>
            <w:r>
              <w:t xml:space="preserve">device objects</w:t>
            </w:r>
            <w:r>
              <w:t xml:space="preserve"> </w:t>
            </w:r>
            <w:r>
              <w:t xml:space="preserve">spanning both</w:t>
            </w:r>
            <w:r>
              <w:t xml:space="preserve"> </w:t>
            </w:r>
            <w:r>
              <w:t xml:space="preserve">contexts is not</w:t>
            </w:r>
            <w:r>
              <w:t xml:space="preserve"> </w:t>
            </w:r>
            <w:r>
              <w:t xml:space="preserve">yet defined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Conditional</w:t>
            </w:r>
            <w:r>
              <w:t xml:space="preserve"> </w:t>
            </w:r>
            <w:r>
              <w:t xml:space="preserve">Access policy</w:t>
            </w:r>
            <w:r>
              <w:t xml:space="preserve"> </w:t>
            </w:r>
            <w:r>
              <w:t xml:space="preserve">scope across</w:t>
            </w:r>
            <w:r>
              <w:t xml:space="preserve"> </w:t>
            </w:r>
            <w:r>
              <w:t xml:space="preserve">M365 and Azure</w:t>
            </w:r>
          </w:p>
        </w:tc>
        <w:tc>
          <w:tcPr/>
          <w:p>
            <w:pPr>
              <w:pStyle w:val="Compact"/>
            </w:pPr>
            <w:r>
              <w:t xml:space="preserve">Microsoft Entra</w:t>
            </w:r>
            <w:r>
              <w:t xml:space="preserve"> </w:t>
            </w:r>
            <w:r>
              <w:t xml:space="preserve">Conditional Access</w:t>
            </w:r>
            <w:r>
              <w:t xml:space="preserve"> </w:t>
            </w:r>
            <w:r>
              <w:t xml:space="preserve">(GCC-Moderate); Azure</w:t>
            </w:r>
            <w:r>
              <w:t xml:space="preserve"> </w:t>
            </w:r>
            <w:r>
              <w:t xml:space="preserve">Resource Manager</w:t>
            </w:r>
            <w:r>
              <w:t xml:space="preserve"> </w:t>
            </w:r>
            <w:r>
              <w:t xml:space="preserve">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Identified</w:t>
            </w:r>
          </w:p>
        </w:tc>
        <w:tc>
          <w:tcPr/>
          <w:p>
            <w:pPr>
              <w:pStyle w:val="Compact"/>
            </w:pPr>
            <w:r>
              <w:t xml:space="preserve">[Security Lead —</w:t>
            </w:r>
            <w:r>
              <w:t xml:space="preserve"> </w:t>
            </w:r>
            <w:r>
              <w:t xml:space="preserve">TBD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</w:t>
            </w:r>
            <w:r>
              <w:t xml:space="preserve"> </w:t>
            </w:r>
            <w:r>
              <w:t xml:space="preserve">Access policies</w:t>
            </w:r>
            <w:r>
              <w:t xml:space="preserve"> </w:t>
            </w:r>
            <w:r>
              <w:t xml:space="preserve">can target</w:t>
            </w:r>
            <w:r>
              <w:t xml:space="preserve"> </w:t>
            </w:r>
            <w:r>
              <w:t xml:space="preserve">Azure</w:t>
            </w:r>
            <w:r>
              <w:t xml:space="preserve"> </w:t>
            </w:r>
            <w:r>
              <w:t xml:space="preserve">management as a</w:t>
            </w:r>
            <w:r>
              <w:t xml:space="preserve"> </w:t>
            </w:r>
            <w:r>
              <w:t xml:space="preserve">cloud app;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coherence</w:t>
            </w:r>
            <w:r>
              <w:t xml:space="preserve"> </w:t>
            </w:r>
            <w:r>
              <w:t xml:space="preserve">across</w:t>
            </w:r>
            <w:r>
              <w:t xml:space="preserve"> </w:t>
            </w:r>
            <w:r>
              <w:t xml:space="preserve">boundaries</w:t>
            </w:r>
            <w:r>
              <w:t xml:space="preserve"> </w:t>
            </w:r>
            <w:r>
              <w:t xml:space="preserve">requires</w:t>
            </w:r>
            <w:r>
              <w:t xml:space="preserve"> </w:t>
            </w:r>
            <w:r>
              <w:t xml:space="preserve">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 baseline</w:t>
            </w:r>
            <w:r>
              <w:t xml:space="preserve"> </w:t>
            </w:r>
            <w:r>
              <w:t xml:space="preserve">enforcement vs.</w:t>
            </w:r>
            <w:r>
              <w:t xml:space="preserve"> </w:t>
            </w:r>
            <w:r>
              <w:t xml:space="preserve">Azure Policy</w:t>
            </w:r>
            <w:r>
              <w:t xml:space="preserve"> </w:t>
            </w:r>
            <w:r>
              <w:t xml:space="preserve">enforcement</w:t>
            </w:r>
          </w:p>
        </w:tc>
        <w:tc>
          <w:tcPr/>
          <w:p>
            <w:pPr>
              <w:pStyle w:val="Compact"/>
            </w:pPr>
            <w:r>
              <w:t xml:space="preserve">CISA ScubaGear / UIAO</w:t>
            </w:r>
            <w:r>
              <w:t xml:space="preserve"> </w:t>
            </w:r>
            <w:r>
              <w:t xml:space="preserve">SCuBA (M365</w:t>
            </w:r>
            <w:r>
              <w:t xml:space="preserve"> </w:t>
            </w:r>
            <w:r>
              <w:t xml:space="preserve">GCC-Moderate); Azure</w:t>
            </w:r>
            <w:r>
              <w:t xml:space="preserve"> </w:t>
            </w:r>
            <w:r>
              <w:t xml:space="preserve">Policy / Machine</w:t>
            </w:r>
            <w:r>
              <w:t xml:space="preserve"> </w:t>
            </w:r>
            <w:r>
              <w:t xml:space="preserve">Configuration (Azure</w:t>
            </w:r>
            <w:r>
              <w:t xml:space="preserve"> </w:t>
            </w:r>
            <w:r>
              <w:t xml:space="preserve">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Identified</w:t>
            </w:r>
          </w:p>
        </w:tc>
        <w:tc>
          <w:tcPr/>
          <w:p>
            <w:pPr>
              <w:pStyle w:val="Compact"/>
            </w:pPr>
            <w:r>
              <w:t xml:space="preserve">[Compliance Lead —</w:t>
            </w:r>
            <w:r>
              <w:t xml:space="preserve"> </w:t>
            </w:r>
            <w:r>
              <w:t xml:space="preserve">TBD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Separate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engines; need</w:t>
            </w:r>
            <w:r>
              <w:t xml:space="preserve"> </w:t>
            </w:r>
            <w:r>
              <w:t xml:space="preserve">to assess</w:t>
            </w:r>
            <w:r>
              <w:t xml:space="preserve"> </w:t>
            </w:r>
            <w:r>
              <w:t xml:space="preserve">whether</w:t>
            </w:r>
            <w:r>
              <w:t xml:space="preserve"> </w:t>
            </w:r>
            <w:r>
              <w:t xml:space="preserve">governance gaps</w:t>
            </w:r>
            <w:r>
              <w:t xml:space="preserve"> </w:t>
            </w:r>
            <w:r>
              <w:t xml:space="preserve">exist at the</w:t>
            </w:r>
            <w:r>
              <w:t xml:space="preserve"> </w:t>
            </w:r>
            <w:r>
              <w:t xml:space="preserve">intersection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Telemetry and</w:t>
            </w:r>
            <w:r>
              <w:t xml:space="preserve"> </w:t>
            </w:r>
            <w:r>
              <w:t xml:space="preserve">diagnostic data</w:t>
            </w:r>
            <w:r>
              <w:t xml:space="preserve"> </w:t>
            </w:r>
            <w:r>
              <w:t xml:space="preserve">flow between</w:t>
            </w:r>
            <w:r>
              <w:t xml:space="preserve"> </w:t>
            </w:r>
            <w:r>
              <w:t xml:space="preserve">M365</w:t>
            </w:r>
            <w:r>
              <w:t xml:space="preserve"> </w:t>
            </w:r>
            <w:r>
              <w:t xml:space="preserve">GCC-Moderate and</w:t>
            </w:r>
            <w:r>
              <w:t xml:space="preserve"> </w:t>
            </w:r>
            <w:r>
              <w:t xml:space="preserve">Azure Commercial</w:t>
            </w:r>
          </w:p>
        </w:tc>
        <w:tc>
          <w:tcPr/>
          <w:p>
            <w:pPr>
              <w:pStyle w:val="Compact"/>
            </w:pPr>
            <w:r>
              <w:t xml:space="preserve">M365 Diagnostic Data</w:t>
            </w:r>
            <w:r>
              <w:t xml:space="preserve"> </w:t>
            </w:r>
            <w:r>
              <w:t xml:space="preserve">(GCC-Moderate); Azure</w:t>
            </w:r>
            <w:r>
              <w:t xml:space="preserve"> </w:t>
            </w:r>
            <w:r>
              <w:t xml:space="preserve">Monitor / Log</w:t>
            </w:r>
            <w:r>
              <w:t xml:space="preserve"> </w:t>
            </w:r>
            <w:r>
              <w:t xml:space="preserve">Analytics</w:t>
            </w:r>
            <w:r>
              <w:t xml:space="preserve"> </w:t>
            </w:r>
            <w:r>
              <w:t xml:space="preserve">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Identified</w:t>
            </w:r>
          </w:p>
        </w:tc>
        <w:tc>
          <w:tcPr/>
          <w:p>
            <w:pPr>
              <w:pStyle w:val="Compact"/>
            </w:pPr>
            <w:r>
              <w:t xml:space="preserve">[Infrastructure Lead</w:t>
            </w:r>
            <w:r>
              <w:t xml:space="preserve"> </w:t>
            </w:r>
            <w:r>
              <w:t xml:space="preserve">— TBD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residency</w:t>
            </w:r>
            <w:r>
              <w:t xml:space="preserve"> </w:t>
            </w:r>
            <w:r>
              <w:t xml:space="preserve">implications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t xml:space="preserve">organizations</w:t>
            </w:r>
            <w:r>
              <w:t xml:space="preserve"> </w:t>
            </w:r>
            <w:r>
              <w:t xml:space="preserve">routing M365</w:t>
            </w:r>
            <w:r>
              <w:t xml:space="preserve"> </w:t>
            </w:r>
            <w:r>
              <w:t xml:space="preserve">telemetry to</w:t>
            </w:r>
            <w:r>
              <w:t xml:space="preserve"> </w:t>
            </w:r>
            <w:r>
              <w:t xml:space="preserve">Azure</w:t>
            </w:r>
            <w:r>
              <w:t xml:space="preserve"> </w:t>
            </w:r>
            <w:r>
              <w:t xml:space="preserve">Commercial Log</w:t>
            </w:r>
            <w:r>
              <w:t xml:space="preserve"> </w:t>
            </w:r>
            <w:r>
              <w:t xml:space="preserve">Analytics</w:t>
            </w:r>
            <w:r>
              <w:t xml:space="preserve"> </w:t>
            </w:r>
            <w:r>
              <w:t xml:space="preserve">workspaces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Licensing</w:t>
            </w:r>
            <w:r>
              <w:t xml:space="preserve"> </w:t>
            </w:r>
            <w:r>
              <w:t xml:space="preserve">entitlement</w:t>
            </w:r>
            <w:r>
              <w:t xml:space="preserve"> </w:t>
            </w:r>
            <w:r>
              <w:t xml:space="preserve">boundaries —</w:t>
            </w:r>
            <w:r>
              <w:t xml:space="preserve"> </w:t>
            </w:r>
            <w:r>
              <w:t xml:space="preserve">M365</w:t>
            </w:r>
            <w:r>
              <w:t xml:space="preserve"> </w:t>
            </w:r>
            <w:r>
              <w:t xml:space="preserve">GCC-Moderate vs.</w:t>
            </w:r>
            <w:r>
              <w:t xml:space="preserve"> </w:t>
            </w:r>
            <w:r>
              <w:t xml:space="preserve">Azure Commercial</w:t>
            </w:r>
          </w:p>
        </w:tc>
        <w:tc>
          <w:tcPr/>
          <w:p>
            <w:pPr>
              <w:pStyle w:val="Compact"/>
            </w:pPr>
            <w:r>
              <w:t xml:space="preserve">M365 E3/E5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licensing; Azure</w:t>
            </w:r>
            <w:r>
              <w:t xml:space="preserve"> </w:t>
            </w:r>
            <w:r>
              <w:t xml:space="preserve">consumption licensing</w:t>
            </w:r>
            <w:r>
              <w:t xml:space="preserve"> </w:t>
            </w:r>
            <w:r>
              <w:t xml:space="preserve">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Under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</w:pPr>
            <w:r>
              <w:t xml:space="preserve">[Licensing/Finance</w:t>
            </w:r>
            <w:r>
              <w:t xml:space="preserve"> </w:t>
            </w:r>
            <w:r>
              <w:t xml:space="preserve">Lead — TBD per</w:t>
            </w:r>
            <w:r>
              <w:t xml:space="preserve"> </w:t>
            </w:r>
            <w:r>
              <w:t xml:space="preserve">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Determining</w:t>
            </w:r>
            <w:r>
              <w:t xml:space="preserve"> </w:t>
            </w:r>
            <w:r>
              <w:t xml:space="preserve">which Defender,</w:t>
            </w:r>
            <w:r>
              <w:t xml:space="preserve"> </w:t>
            </w:r>
            <w:r>
              <w:t xml:space="preserve">Intune, and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entitlements</w:t>
            </w:r>
            <w:r>
              <w:t xml:space="preserve"> </w:t>
            </w:r>
            <w:r>
              <w:t xml:space="preserve">cross the</w:t>
            </w:r>
            <w:r>
              <w:t xml:space="preserve"> </w:t>
            </w:r>
            <w:r>
              <w:t xml:space="preserve">boundary and</w:t>
            </w:r>
            <w:r>
              <w:t xml:space="preserve"> </w:t>
            </w:r>
            <w:r>
              <w:t xml:space="preserve">which require</w:t>
            </w:r>
            <w:r>
              <w:t xml:space="preserve"> </w:t>
            </w:r>
            <w:r>
              <w:t xml:space="preserve">separate Azure</w:t>
            </w:r>
            <w:r>
              <w:t xml:space="preserve"> </w:t>
            </w:r>
            <w:r>
              <w:t xml:space="preserve">SKUs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Amazon Connect</w:t>
            </w:r>
            <w:r>
              <w:t xml:space="preserve"> </w:t>
            </w:r>
            <w:r>
              <w:t xml:space="preserve">Contact Center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t xml:space="preserve">non-Microsoft</w:t>
            </w:r>
            <w:r>
              <w:t xml:space="preserve"> </w:t>
            </w:r>
            <w:r>
              <w:t xml:space="preserve">exception</w:t>
            </w:r>
          </w:p>
        </w:tc>
        <w:tc>
          <w:tcPr/>
          <w:p>
            <w:pPr>
              <w:pStyle w:val="Compact"/>
            </w:pPr>
            <w:r>
              <w:t xml:space="preserve">Amazon Connect (AWS</w:t>
            </w:r>
            <w:r>
              <w:t xml:space="preserve"> </w:t>
            </w:r>
            <w:r>
              <w:t xml:space="preserve">Commercial); M365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(identity/directory</w:t>
            </w:r>
            <w:r>
              <w:t xml:space="preserve"> </w:t>
            </w:r>
            <w:r>
              <w:t xml:space="preserve">integration, if any)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Under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</w:pPr>
            <w:r>
              <w:t xml:space="preserve">[Contact Center Lead</w:t>
            </w:r>
            <w:r>
              <w:t xml:space="preserve"> </w:t>
            </w:r>
            <w:r>
              <w:t xml:space="preserve">— TBD per OrgPath]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[TBD —</w:t>
            </w:r>
            <w:r>
              <w:t xml:space="preserve"> </w:t>
            </w:r>
            <w:r>
              <w:t xml:space="preserve">target</w:t>
            </w:r>
            <w:r>
              <w:t xml:space="preserve"> </w:t>
            </w:r>
            <w:r>
              <w:t xml:space="preserve">Revision</w:t>
            </w:r>
            <w:r>
              <w:t xml:space="preserve"> </w:t>
            </w:r>
            <w:r>
              <w:t xml:space="preserve">1.0]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Explicit</w:t>
            </w:r>
            <w:r>
              <w:t xml:space="preserve"> </w:t>
            </w:r>
            <w:r>
              <w:t xml:space="preserve">exception —</w:t>
            </w:r>
            <w:r>
              <w:t xml:space="preserve"> </w:t>
            </w:r>
            <w:r>
              <w:t xml:space="preserve">Amazon Connect</w:t>
            </w:r>
            <w:r>
              <w:t xml:space="preserve"> </w:t>
            </w:r>
            <w:r>
              <w:t xml:space="preserve">runs in</w:t>
            </w:r>
            <w:r>
              <w:t xml:space="preserve"> </w:t>
            </w:r>
            <w:r>
              <w:t xml:space="preserve">Commercial</w:t>
            </w:r>
            <w:r>
              <w:t xml:space="preserve"> </w:t>
            </w:r>
            <w:r>
              <w:t xml:space="preserve">Cloud outside</w:t>
            </w:r>
            <w:r>
              <w:t xml:space="preserve"> </w:t>
            </w:r>
            <w:r>
              <w:t xml:space="preserve">the Microsoft</w:t>
            </w:r>
            <w:r>
              <w:t xml:space="preserve"> </w:t>
            </w:r>
            <w:r>
              <w:t xml:space="preserve">ecosystem;</w:t>
            </w:r>
            <w:r>
              <w:t xml:space="preserve"> </w:t>
            </w:r>
            <w:r>
              <w:t xml:space="preserve">integration</w:t>
            </w:r>
            <w:r>
              <w:t xml:space="preserve"> </w:t>
            </w:r>
            <w:r>
              <w:t xml:space="preserve">points with</w:t>
            </w:r>
            <w:r>
              <w:t xml:space="preserve"> </w:t>
            </w:r>
            <w:r>
              <w:t xml:space="preserve">M365/Entra ID</w:t>
            </w:r>
            <w:r>
              <w:t xml:space="preserve"> </w:t>
            </w:r>
            <w:r>
              <w:t xml:space="preserve">require</w:t>
            </w:r>
            <w:r>
              <w:t xml:space="preserve"> </w:t>
            </w:r>
            <w:r>
              <w:t xml:space="preserve">boundary</w:t>
            </w:r>
            <w:r>
              <w:t xml:space="preserve"> </w:t>
            </w:r>
            <w:r>
              <w:t xml:space="preserve">documentation</w:t>
            </w:r>
          </w:p>
        </w:tc>
      </w:tr>
    </w:tbl>
    <w:bookmarkEnd w:id="56"/>
    <w:bookmarkEnd w:id="57"/>
    <w:bookmarkStart w:id="64" w:name="section-9-scuba-operationalization"/>
    <w:p>
      <w:pPr>
        <w:pStyle w:val="Heading1"/>
      </w:pPr>
      <w:r>
        <w:t xml:space="preserve">Section 9: SCuBA Operationalization</w:t>
      </w:r>
    </w:p>
    <w:p>
      <w:pPr>
        <w:pStyle w:val="FirstParagraph"/>
      </w:pPr>
      <w:r>
        <w:t xml:space="preserve">This section defines the operationalization mechanics for</w:t>
      </w:r>
      <w:r>
        <w:t xml:space="preserve"> </w:t>
      </w:r>
      <w:r>
        <w:rPr>
          <w:b/>
          <w:bCs/>
        </w:rPr>
        <w:t xml:space="preserve">CISA SCuBA</w:t>
      </w:r>
      <w:r>
        <w:rPr>
          <w:b/>
          <w:bCs/>
        </w:rPr>
        <w:t xml:space="preserve"> </w:t>
      </w:r>
      <w:r>
        <w:rPr>
          <w:b/>
          <w:bCs/>
        </w:rPr>
        <w:t xml:space="preserve">(Secure Cloud Business Applications) baselines</w:t>
      </w:r>
      <w:r>
        <w:t xml:space="preserve"> </w:t>
      </w:r>
      <w:r>
        <w:t xml:space="preserve">through the</w:t>
      </w:r>
      <w:r>
        <w:t xml:space="preserve"> </w:t>
      </w:r>
      <w:r>
        <w:rPr>
          <w:b/>
          <w:bCs/>
        </w:rPr>
        <w:t xml:space="preserve">ScubaGear</w:t>
      </w:r>
      <w:r>
        <w:t xml:space="preserve"> </w:t>
      </w:r>
      <w:r>
        <w:t xml:space="preserve">assessment tool and the</w:t>
      </w:r>
      <w:r>
        <w:t xml:space="preserve"> </w:t>
      </w:r>
      <w:r>
        <w:rPr>
          <w:b/>
          <w:bCs/>
        </w:rPr>
        <w:t xml:space="preserve">UIAO SCuBA orchestration</w:t>
      </w:r>
      <w:r>
        <w:rPr>
          <w:b/>
          <w:bCs/>
        </w:rPr>
        <w:t xml:space="preserve"> </w:t>
      </w:r>
      <w:r>
        <w:rPr>
          <w:b/>
          <w:bCs/>
        </w:rPr>
        <w:t xml:space="preserve">layer</w:t>
      </w:r>
      <w:r>
        <w:t xml:space="preserve">.</w:t>
      </w:r>
    </w:p>
    <w:bookmarkStart w:id="58" w:name="scubagear-overview"/>
    <w:p>
      <w:pPr>
        <w:pStyle w:val="Heading2"/>
      </w:pPr>
      <w:r>
        <w:t xml:space="preserve">9.1 ScubaGear Overview</w:t>
      </w:r>
    </w:p>
    <w:p>
      <w:pPr>
        <w:pStyle w:val="FirstParagraph"/>
      </w:pPr>
      <w:r>
        <w:rPr>
          <w:b/>
          <w:bCs/>
        </w:rPr>
        <w:t xml:space="preserve">ScubaGear</w:t>
      </w:r>
      <w:r>
        <w:t xml:space="preserve"> </w:t>
      </w:r>
      <w:r>
        <w:t xml:space="preserve">is CISA's open-source PowerShell module that assesses</w:t>
      </w:r>
      <w:r>
        <w:t xml:space="preserve"> </w:t>
      </w:r>
      <w:r>
        <w:t xml:space="preserve">Microsoft 365 tenant configuration against</w:t>
      </w:r>
      <w:r>
        <w:t xml:space="preserve"> </w:t>
      </w:r>
      <w:r>
        <w:rPr>
          <w:b/>
          <w:bCs/>
        </w:rPr>
        <w:t xml:space="preserve">SCuBA Secure Configuration</w:t>
      </w:r>
      <w:r>
        <w:rPr>
          <w:b/>
          <w:bCs/>
        </w:rPr>
        <w:t xml:space="preserve"> </w:t>
      </w:r>
      <w:r>
        <w:rPr>
          <w:b/>
          <w:bCs/>
        </w:rPr>
        <w:t xml:space="preserve">Baselines</w:t>
      </w:r>
      <w:r>
        <w:t xml:space="preserve">. ScubaGear queries M365 APIs (Microsoft Graph, Exchange</w:t>
      </w:r>
      <w:r>
        <w:t xml:space="preserve"> </w:t>
      </w:r>
      <w:r>
        <w:t xml:space="preserve">Online PowerShell, SharePoint Online PowerShell, Teams PowerShell),</w:t>
      </w:r>
      <w:r>
        <w:t xml:space="preserve"> </w:t>
      </w:r>
      <w:r>
        <w:t xml:space="preserve">collects the tenant's current configuration state, compares each</w:t>
      </w:r>
      <w:r>
        <w:t xml:space="preserve"> </w:t>
      </w:r>
      <w:r>
        <w:t xml:space="preserve">setting against OPA (Open Policy Agent) / Rego policy definitions, and</w:t>
      </w:r>
      <w:r>
        <w:t xml:space="preserve"> </w:t>
      </w:r>
      <w:r>
        <w:t xml:space="preserve">generates compliance reports in HTML, JSON, and CSV formats. ScubaGear</w:t>
      </w:r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point-in-time assessment tool</w:t>
      </w:r>
      <w:r>
        <w:t xml:space="preserve"> </w:t>
      </w:r>
      <w:r>
        <w:t xml:space="preserve">— it evaluates the current</w:t>
      </w:r>
      <w:r>
        <w:t xml:space="preserve"> </w:t>
      </w:r>
      <w:r>
        <w:t xml:space="preserve">state at the time of execution and does not provide continuous</w:t>
      </w:r>
      <w:r>
        <w:t xml:space="preserve"> </w:t>
      </w:r>
      <w:r>
        <w:t xml:space="preserve">monitoring.</w:t>
      </w:r>
    </w:p>
    <w:bookmarkEnd w:id="58"/>
    <w:bookmarkStart w:id="59" w:name="baseline-coverage"/>
    <w:p>
      <w:pPr>
        <w:pStyle w:val="Heading2"/>
      </w:pPr>
      <w:r>
        <w:t xml:space="preserve">9.2 Baseline Coverage</w:t>
      </w:r>
    </w:p>
    <w:p>
      <w:pPr>
        <w:pStyle w:val="FirstParagraph"/>
      </w:pPr>
      <w:r>
        <w:t xml:space="preserve">ScubaGear assesses the following M365 workloads against SCuBA baselines: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Entra ID (AAD):</w:t>
      </w:r>
      <w:r>
        <w:t xml:space="preserve"> </w:t>
      </w:r>
      <w:r>
        <w:t xml:space="preserve">Authentication methods, Conditional Access, MFA</w:t>
      </w:r>
      <w:r>
        <w:t xml:space="preserve"> </w:t>
      </w:r>
      <w:r>
        <w:t xml:space="preserve">enforcement, admin role management, guest access, legacy</w:t>
      </w:r>
      <w:r>
        <w:t xml:space="preserve"> </w:t>
      </w:r>
      <w:r>
        <w:t xml:space="preserve">authentication blocking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Exchange Online:</w:t>
      </w:r>
      <w:r>
        <w:t xml:space="preserve"> </w:t>
      </w:r>
      <w:r>
        <w:t xml:space="preserve">Mail flow rules, transport encryption, external</w:t>
      </w:r>
      <w:r>
        <w:t xml:space="preserve"> </w:t>
      </w:r>
      <w:r>
        <w:t xml:space="preserve">forwarding controls, audit logging, anti-phishing/anti-spam policies,</w:t>
      </w:r>
      <w:r>
        <w:t xml:space="preserve"> </w:t>
      </w:r>
      <w:r>
        <w:t xml:space="preserve">DMARC/DKIM/SPF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SharePoint Online:</w:t>
      </w:r>
      <w:r>
        <w:t xml:space="preserve"> </w:t>
      </w:r>
      <w:r>
        <w:t xml:space="preserve">Sharing settings, access controls, site</w:t>
      </w:r>
      <w:r>
        <w:t xml:space="preserve"> </w:t>
      </w:r>
      <w:r>
        <w:t xml:space="preserve">creation policies, external collaboration governance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Microsoft Teams:</w:t>
      </w:r>
      <w:r>
        <w:t xml:space="preserve"> </w:t>
      </w:r>
      <w:r>
        <w:t xml:space="preserve">Meeting policies, messaging policies, external</w:t>
      </w:r>
      <w:r>
        <w:t xml:space="preserve"> </w:t>
      </w:r>
      <w:r>
        <w:t xml:space="preserve">access, guest access, app permission policies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Power BI:</w:t>
      </w:r>
      <w:r>
        <w:t xml:space="preserve"> </w:t>
      </w:r>
      <w:r>
        <w:t xml:space="preserve">Tenant settings, export controls, external sharing,</w:t>
      </w:r>
      <w:r>
        <w:t xml:space="preserve"> </w:t>
      </w:r>
      <w:r>
        <w:t xml:space="preserve">embed controls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Power Platform:</w:t>
      </w:r>
      <w:r>
        <w:t xml:space="preserve"> </w:t>
      </w:r>
      <w:r>
        <w:t xml:space="preserve">Environment creation controls, DLP policies,</w:t>
      </w:r>
      <w:r>
        <w:t xml:space="preserve"> </w:t>
      </w:r>
      <w:r>
        <w:t xml:space="preserve">connector restrictions, tenant isolation</w:t>
      </w:r>
    </w:p>
    <w:p>
      <w:pPr>
        <w:pStyle w:val="FirstParagraph"/>
      </w:pPr>
      <w:r>
        <w:t xml:space="preserve">Baselines are mapped to</w:t>
      </w:r>
      <w:r>
        <w:t xml:space="preserve"> </w:t>
      </w:r>
      <w:r>
        <w:rPr>
          <w:b/>
          <w:bCs/>
        </w:rPr>
        <w:t xml:space="preserve">NIST SP 800-53</w:t>
      </w:r>
      <w:r>
        <w:t xml:space="preserve"> </w:t>
      </w:r>
      <w:r>
        <w:t xml:space="preserve">security controls and</w:t>
      </w:r>
      <w:r>
        <w:t xml:space="preserve"> </w:t>
      </w:r>
      <w:r>
        <w:rPr>
          <w:b/>
          <w:bCs/>
        </w:rPr>
        <w:t xml:space="preserve">MITRE</w:t>
      </w:r>
      <w:r>
        <w:rPr>
          <w:b/>
          <w:bCs/>
        </w:rPr>
        <w:t xml:space="preserve"> </w:t>
      </w:r>
      <w:r>
        <w:rPr>
          <w:b/>
          <w:bCs/>
        </w:rPr>
        <w:t xml:space="preserve">ATT&amp;CK</w:t>
      </w:r>
      <w:r>
        <w:t xml:space="preserve"> </w:t>
      </w:r>
      <w:r>
        <w:t xml:space="preserve">techniques, providing dual-framework traceability for</w:t>
      </w:r>
      <w:r>
        <w:t xml:space="preserve"> </w:t>
      </w:r>
      <w:r>
        <w:t xml:space="preserve">compliance and threat-informed defense.</w:t>
      </w:r>
    </w:p>
    <w:bookmarkEnd w:id="59"/>
    <w:bookmarkStart w:id="60" w:name="uiao-scuba-orchestration-layer"/>
    <w:p>
      <w:pPr>
        <w:pStyle w:val="Heading2"/>
      </w:pPr>
      <w:r>
        <w:t xml:space="preserve">9.3 UIAO SCuBA Orchestration Layer</w:t>
      </w:r>
    </w:p>
    <w:p>
      <w:pPr>
        <w:pStyle w:val="FirstParagraph"/>
      </w:pPr>
      <w:r>
        <w:rPr>
          <w:b/>
          <w:bCs/>
        </w:rPr>
        <w:t xml:space="preserve">UIAO SCuBA</w:t>
      </w:r>
      <w:r>
        <w:t xml:space="preserve"> </w:t>
      </w:r>
      <w:r>
        <w:t xml:space="preserve">sits</w:t>
      </w:r>
      <w:r>
        <w:t xml:space="preserve"> </w:t>
      </w:r>
      <w:r>
        <w:rPr>
          <w:b/>
          <w:bCs/>
        </w:rPr>
        <w:t xml:space="preserve">above</w:t>
      </w:r>
      <w:r>
        <w:t xml:space="preserve"> </w:t>
      </w:r>
      <w:r>
        <w:t xml:space="preserve">ScubaGear as the governance orchestration</w:t>
      </w:r>
      <w:r>
        <w:t xml:space="preserve"> </w:t>
      </w:r>
      <w:r>
        <w:t xml:space="preserve">layer. It is</w:t>
      </w:r>
      <w:r>
        <w:t xml:space="preserve"> </w:t>
      </w:r>
      <w:r>
        <w:rPr>
          <w:b/>
          <w:bCs/>
        </w:rPr>
        <w:t xml:space="preserve">complementary, not competitive</w:t>
      </w:r>
      <w:r>
        <w:t xml:space="preserve"> </w:t>
      </w:r>
      <w:r>
        <w:t xml:space="preserve">— UIAO SCuBA does not</w:t>
      </w:r>
      <w:r>
        <w:t xml:space="preserve"> </w:t>
      </w:r>
      <w:r>
        <w:t xml:space="preserve">replace ScubaGear; it consumes ScubaGear's outputs and adds</w:t>
      </w:r>
      <w:r>
        <w:t xml:space="preserve"> </w:t>
      </w:r>
      <w:r>
        <w:t xml:space="preserve">governance-grade capabilities that ScubaGear does not provide natively.</w:t>
      </w:r>
      <w:r>
        <w:t xml:space="preserve"> </w:t>
      </w:r>
      <w:r>
        <w:t xml:space="preserve">The UIAO SCuBA orchestration layer provides: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Continuous drift detection:</w:t>
      </w:r>
      <w:r>
        <w:t xml:space="preserve"> </w:t>
      </w:r>
      <w:r>
        <w:t xml:space="preserve">ScubaGear provides point-in-time</w:t>
      </w:r>
      <w:r>
        <w:t xml:space="preserve"> </w:t>
      </w:r>
      <w:r>
        <w:t xml:space="preserve">assessment. UIAO SCuBA schedules ScubaGear execution on a defined</w:t>
      </w:r>
      <w:r>
        <w:t xml:space="preserve"> </w:t>
      </w:r>
      <w:r>
        <w:t xml:space="preserve">cadence, compares results against</w:t>
      </w:r>
      <w:r>
        <w:t xml:space="preserve"> </w:t>
      </w:r>
      <w:r>
        <w:rPr>
          <w:b/>
          <w:bCs/>
        </w:rPr>
        <w:t xml:space="preserve">canonical desired-state</w:t>
      </w:r>
      <w:r>
        <w:rPr>
          <w:b/>
          <w:bCs/>
        </w:rPr>
        <w:t xml:space="preserve"> </w:t>
      </w:r>
      <w:r>
        <w:rPr>
          <w:b/>
          <w:bCs/>
        </w:rPr>
        <w:t xml:space="preserve">baselines</w:t>
      </w:r>
      <w:r>
        <w:t xml:space="preserve"> </w:t>
      </w:r>
      <w:r>
        <w:t xml:space="preserve">stored in canon/, and detects drift between the desired</w:t>
      </w:r>
      <w:r>
        <w:t xml:space="preserve"> </w:t>
      </w:r>
      <w:r>
        <w:t xml:space="preserve">state and the assessed state.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Remediation orchestration with SLA enforcement:</w:t>
      </w:r>
      <w:r>
        <w:t xml:space="preserve"> </w:t>
      </w:r>
      <w:r>
        <w:t xml:space="preserve">Detected drift is</w:t>
      </w:r>
      <w:r>
        <w:t xml:space="preserve"> </w:t>
      </w:r>
      <w:r>
        <w:t xml:space="preserve">classified by severity, assigned to an owner via OrgPath, and placed</w:t>
      </w:r>
      <w:r>
        <w:t xml:space="preserve"> </w:t>
      </w:r>
      <w:r>
        <w:t xml:space="preserve">on an SLA timer. UIAO SCuBA tracks remediation progress, escalates</w:t>
      </w:r>
      <w:r>
        <w:t xml:space="preserve"> </w:t>
      </w:r>
      <w:r>
        <w:t xml:space="preserve">when SLAs are at risk, and validates that remediation resolves the</w:t>
      </w:r>
      <w:r>
        <w:t xml:space="preserve"> </w:t>
      </w:r>
      <w:r>
        <w:t xml:space="preserve">drift.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Machine-trackable governance provenance:</w:t>
      </w:r>
      <w:r>
        <w:t xml:space="preserve"> </w:t>
      </w:r>
      <w:r>
        <w:t xml:space="preserve">Every assessment, drift</w:t>
      </w:r>
      <w:r>
        <w:t xml:space="preserve"> </w:t>
      </w:r>
      <w:r>
        <w:t xml:space="preserve">detection, remediation action, and resolution is recorded as a</w:t>
      </w:r>
      <w:r>
        <w:t xml:space="preserve"> </w:t>
      </w:r>
      <w:r>
        <w:t xml:space="preserve">machine-trackable provenance event in canon/. This creates an</w:t>
      </w:r>
      <w:r>
        <w:t xml:space="preserve"> </w:t>
      </w:r>
      <w:r>
        <w:t xml:space="preserve">auditable chain of evidence for compliance demonstrations.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Owner accountability tracking:</w:t>
      </w:r>
      <w:r>
        <w:t xml:space="preserve"> </w:t>
      </w:r>
      <w:r>
        <w:t xml:space="preserve">UIAO SCuBA correlates drifted</w:t>
      </w:r>
      <w:r>
        <w:t xml:space="preserve"> </w:t>
      </w:r>
      <w:r>
        <w:t xml:space="preserve">settings to their responsible owner (via OrgPath and the Policy</w:t>
      </w:r>
      <w:r>
        <w:t xml:space="preserve"> </w:t>
      </w:r>
      <w:r>
        <w:t xml:space="preserve">Ownership Register). Owner reliability metrics — remediation speed,</w:t>
      </w:r>
      <w:r>
        <w:t xml:space="preserve"> </w:t>
      </w:r>
      <w:r>
        <w:t xml:space="preserve">SLA adherence, repeat drift rates — are tracked and surfaced in SLA</w:t>
      </w:r>
      <w:r>
        <w:t xml:space="preserve"> </w:t>
      </w:r>
      <w:r>
        <w:t xml:space="preserve">heatmaps.</w:t>
      </w:r>
    </w:p>
    <w:bookmarkEnd w:id="60"/>
    <w:bookmarkStart w:id="61" w:name="operationalization-sequence"/>
    <w:p>
      <w:pPr>
        <w:pStyle w:val="Heading2"/>
      </w:pPr>
      <w:r>
        <w:t xml:space="preserve">9.4 Operationalization Sequence</w:t>
      </w:r>
    </w:p>
    <w:p>
      <w:pPr>
        <w:pStyle w:val="FirstParagraph"/>
      </w:pPr>
      <w:r>
        <w:t xml:space="preserve">The SCuBA operationalization follows a defined sequence integrated with</w:t>
      </w:r>
      <w:r>
        <w:t xml:space="preserve"> </w:t>
      </w:r>
      <w:r>
        <w:t xml:space="preserve">the overall Phase 1 modernization (Sequence Step 7).</w:t>
      </w:r>
    </w:p>
    <w:bookmarkEnd w:id="61"/>
    <w:bookmarkStart w:id="62" w:name="X01490f123931c90c253114d384b18ed3ab5024b"/>
    <w:p>
      <w:pPr>
        <w:pStyle w:val="Heading2"/>
      </w:pPr>
      <w:r>
        <w:t xml:space="preserve">Table 8: SCuBA Operationalization Sequence</w:t>
      </w:r>
    </w:p>
    <w:tbl>
      <w:tblPr>
        <w:tblStyle w:val="Table"/>
        <w:tblW w:type="pct" w:w="4912"/>
        <w:tblLayout w:type="fixed"/>
        <w:tblLook w:firstRow="1" w:lastRow="0" w:firstColumn="0" w:lastColumn="0" w:noHBand="0" w:noVBand="0" w:val="0020"/>
      </w:tblPr>
      <w:tblGrid>
        <w:gridCol w:w="770"/>
        <w:gridCol w:w="1261"/>
        <w:gridCol w:w="2383"/>
        <w:gridCol w:w="1191"/>
        <w:gridCol w:w="1191"/>
        <w:gridCol w:w="98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Tool/Method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ScubaGear</w:t>
            </w:r>
            <w:r>
              <w:t xml:space="preserve"> </w:t>
            </w:r>
            <w:r>
              <w:t xml:space="preserve">module in M365</w:t>
            </w:r>
            <w:r>
              <w:t xml:space="preserve"> </w:t>
            </w:r>
            <w:r>
              <w:t xml:space="preserve">tenant; validate</w:t>
            </w:r>
            <w:r>
              <w:t xml:space="preserve"> </w:t>
            </w:r>
            <w:r>
              <w:t xml:space="preserve">API permissions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— Install-Module</w:t>
            </w:r>
            <w:r>
              <w:t xml:space="preserve"> </w:t>
            </w:r>
            <w:r>
              <w:t xml:space="preserve">ScubaGear; configure service</w:t>
            </w:r>
            <w:r>
              <w:t xml:space="preserve"> </w:t>
            </w:r>
            <w:r>
              <w:t xml:space="preserve">principal with required</w:t>
            </w:r>
            <w:r>
              <w:t xml:space="preserve"> </w:t>
            </w:r>
            <w:r>
              <w:t xml:space="preserve">Graph/Exchange/SharePoint/Teams</w:t>
            </w:r>
            <w:r>
              <w:t xml:space="preserve"> </w:t>
            </w:r>
            <w:r>
              <w:t xml:space="preserve">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module</w:t>
            </w:r>
            <w:r>
              <w:t xml:space="preserve"> </w:t>
            </w:r>
            <w:r>
              <w:t xml:space="preserve">installed and</w:t>
            </w:r>
            <w:r>
              <w:t xml:space="preserve"> </w:t>
            </w:r>
            <w:r>
              <w:t xml:space="preserve">authenticated;</w:t>
            </w:r>
            <w:r>
              <w:t xml:space="preserve"> </w:t>
            </w:r>
            <w:r>
              <w:t xml:space="preserve">test execution</w:t>
            </w:r>
            <w:r>
              <w:t xml:space="preserve"> </w:t>
            </w:r>
            <w:r>
              <w:t xml:space="preserve">validated</w:t>
            </w:r>
            <w:r>
              <w:t xml:space="preserve"> </w:t>
            </w:r>
            <w:r>
              <w:t xml:space="preserve">against single</w:t>
            </w:r>
            <w:r>
              <w:t xml:space="preserve"> </w:t>
            </w:r>
            <w:r>
              <w:t xml:space="preserve">workload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t xml:space="preserve">within 5</w:t>
            </w:r>
            <w:r>
              <w:t xml:space="preserve"> </w:t>
            </w:r>
            <w:r>
              <w:t xml:space="preserve">business days</w:t>
            </w:r>
            <w:r>
              <w:t xml:space="preserve"> </w:t>
            </w:r>
            <w:r>
              <w:t xml:space="preserve">of Step 7</w:t>
            </w:r>
            <w:r>
              <w:t xml:space="preserve"> </w:t>
            </w:r>
            <w:r>
              <w:t xml:space="preserve">initiation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initial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assessment across</w:t>
            </w:r>
            <w:r>
              <w:t xml:space="preserve"> </w:t>
            </w:r>
            <w:r>
              <w:t xml:space="preserve">all supported</w:t>
            </w:r>
            <w:r>
              <w:t xml:space="preserve"> </w:t>
            </w:r>
            <w:r>
              <w:t xml:space="preserve">workloads (Entra</w:t>
            </w:r>
            <w:r>
              <w:t xml:space="preserve"> </w:t>
            </w:r>
            <w:r>
              <w:t xml:space="preserve">ID, EXO, SPO,</w:t>
            </w:r>
            <w:r>
              <w:t xml:space="preserve"> </w:t>
            </w:r>
            <w:r>
              <w:t xml:space="preserve">Teams, Power BI,</w:t>
            </w:r>
            <w:r>
              <w:t xml:space="preserve"> </w:t>
            </w:r>
            <w:r>
              <w:t xml:space="preserve">Power Platform)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— Invoke-SCuBA (all</w:t>
            </w:r>
            <w:r>
              <w:t xml:space="preserve"> </w:t>
            </w:r>
            <w:r>
              <w:t xml:space="preserve">products); generate HTML/JSON/CSV</w:t>
            </w:r>
            <w:r>
              <w:t xml:space="preserve"> </w:t>
            </w:r>
            <w:r>
              <w:t xml:space="preserve">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SCuBA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Report (all</w:t>
            </w:r>
            <w:r>
              <w:t xml:space="preserve"> </w:t>
            </w:r>
            <w:r>
              <w:t xml:space="preserve">workloads); JSON</w:t>
            </w:r>
            <w:r>
              <w:t xml:space="preserve"> </w:t>
            </w:r>
            <w:r>
              <w:t xml:space="preserve">output files for</w:t>
            </w:r>
            <w:r>
              <w:t xml:space="preserve"> </w:t>
            </w:r>
            <w:r>
              <w:t xml:space="preserve">programmatic</w:t>
            </w:r>
            <w:r>
              <w:t xml:space="preserve"> </w:t>
            </w:r>
            <w:r>
              <w:t xml:space="preserve">consumption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t xml:space="preserve">within 3</w:t>
            </w:r>
            <w:r>
              <w:t xml:space="preserve"> </w:t>
            </w:r>
            <w:r>
              <w:t xml:space="preserve">business days</w:t>
            </w:r>
            <w:r>
              <w:t xml:space="preserve"> </w:t>
            </w:r>
            <w:r>
              <w:t xml:space="preserve">of Step 1</w:t>
            </w:r>
            <w:r>
              <w:t xml:space="preserve"> </w:t>
            </w:r>
            <w:r>
              <w:t xml:space="preserve">completion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</w:t>
            </w:r>
            <w:r>
              <w:t xml:space="preserve"> </w:t>
            </w:r>
            <w:r>
              <w:t xml:space="preserve">canonical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 in</w:t>
            </w:r>
            <w:r>
              <w:t xml:space="preserve"> </w:t>
            </w:r>
            <w:r>
              <w:t xml:space="preserve">canon/ governance</w:t>
            </w:r>
            <w:r>
              <w:t xml:space="preserve"> </w:t>
            </w:r>
            <w:r>
              <w:t xml:space="preserve">repository;</w:t>
            </w:r>
            <w:r>
              <w:t xml:space="preserve"> </w:t>
            </w:r>
            <w:r>
              <w:t xml:space="preserve">document all</w:t>
            </w:r>
            <w:r>
              <w:t xml:space="preserve"> </w:t>
            </w:r>
            <w:r>
              <w:t xml:space="preserve">accepted</w:t>
            </w:r>
            <w:r>
              <w:t xml:space="preserve"> </w:t>
            </w:r>
            <w:r>
              <w:t xml:space="preserve">deviations with</w:t>
            </w:r>
            <w:r>
              <w:t xml:space="preserve"> </w:t>
            </w:r>
            <w:r>
              <w:t xml:space="preserve">justification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review of ScubaGear</w:t>
            </w:r>
            <w:r>
              <w:t xml:space="preserve"> </w:t>
            </w:r>
            <w:r>
              <w:t xml:space="preserve">output; canonical definition</w:t>
            </w:r>
            <w:r>
              <w:t xml:space="preserve"> </w:t>
            </w:r>
            <w:r>
              <w:t xml:space="preserve">authoring in YAML/JSON; accepted</w:t>
            </w:r>
            <w:r>
              <w:t xml:space="preserve"> </w:t>
            </w:r>
            <w:r>
              <w:t xml:space="preserve">deviation documentation with risk</w:t>
            </w:r>
            <w:r>
              <w:t xml:space="preserve"> </w:t>
            </w:r>
            <w:r>
              <w:t xml:space="preserve">acceptance signature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 (per</w:t>
            </w:r>
            <w:r>
              <w:t xml:space="preserve"> </w:t>
            </w:r>
            <w:r>
              <w:t xml:space="preserve">workload);</w:t>
            </w:r>
            <w:r>
              <w:t xml:space="preserve"> </w:t>
            </w:r>
            <w:r>
              <w:t xml:space="preserve">Accepted</w:t>
            </w:r>
            <w:r>
              <w:t xml:space="preserve"> </w:t>
            </w:r>
            <w:r>
              <w:t xml:space="preserve">Deviation</w:t>
            </w:r>
            <w:r>
              <w:t xml:space="preserve"> </w:t>
            </w:r>
            <w:r>
              <w:t xml:space="preserve">Register with</w:t>
            </w:r>
            <w:r>
              <w:t xml:space="preserve"> </w:t>
            </w:r>
            <w:r>
              <w:t xml:space="preserve">justifications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 +</w:t>
            </w:r>
            <w:r>
              <w:t xml:space="preserve"> </w:t>
            </w:r>
            <w:r>
              <w:t xml:space="preserve">Workload Owners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t xml:space="preserve">within 10</w:t>
            </w:r>
            <w:r>
              <w:t xml:space="preserve"> </w:t>
            </w:r>
            <w:r>
              <w:t xml:space="preserve">business days</w:t>
            </w:r>
            <w:r>
              <w:t xml:space="preserve"> </w:t>
            </w:r>
            <w:r>
              <w:t xml:space="preserve">of Step 2</w:t>
            </w:r>
            <w:r>
              <w:t xml:space="preserve"> </w:t>
            </w:r>
            <w:r>
              <w:t xml:space="preserve">completion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Configure UIAO</w:t>
            </w:r>
            <w:r>
              <w:t xml:space="preserve"> </w:t>
            </w:r>
            <w:r>
              <w:t xml:space="preserve">SCuBA</w:t>
            </w:r>
            <w:r>
              <w:t xml:space="preserve"> </w:t>
            </w:r>
            <w:r>
              <w:t xml:space="preserve">orchestration to</w:t>
            </w:r>
            <w:r>
              <w:t xml:space="preserve"> </w:t>
            </w:r>
            <w:r>
              <w:t xml:space="preserve">consume ScubaGear</w:t>
            </w:r>
            <w:r>
              <w:t xml:space="preserve"> </w:t>
            </w:r>
            <w:r>
              <w:t xml:space="preserve">JSON/CSV outputs</w:t>
            </w:r>
            <w:r>
              <w:t xml:space="preserve"> </w:t>
            </w:r>
            <w:r>
              <w:t xml:space="preserve">on a scheduled</w:t>
            </w:r>
            <w:r>
              <w:t xml:space="preserve"> </w:t>
            </w:r>
            <w:r>
              <w:t xml:space="preserve">cadence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automation —</w:t>
            </w:r>
            <w:r>
              <w:t xml:space="preserve"> </w:t>
            </w:r>
            <w:r>
              <w:t xml:space="preserve">scheduled task or Azure</w:t>
            </w:r>
            <w:r>
              <w:t xml:space="preserve"> </w:t>
            </w:r>
            <w:r>
              <w:t xml:space="preserve">Automation runbook executing</w:t>
            </w:r>
            <w:r>
              <w:t xml:space="preserve"> </w:t>
            </w:r>
            <w:r>
              <w:t xml:space="preserve">ScubaGear; UIAO SCuBA</w:t>
            </w:r>
            <w:r>
              <w:t xml:space="preserve"> </w:t>
            </w:r>
            <w:r>
              <w:t xml:space="preserve">orchestration layer consuming</w:t>
            </w:r>
            <w:r>
              <w:t xml:space="preserve"> </w:t>
            </w:r>
            <w:r>
              <w:t xml:space="preserve">outputs and comparing against</w:t>
            </w:r>
            <w:r>
              <w:t xml:space="preserve"> </w:t>
            </w:r>
            <w:r>
              <w:t xml:space="preserve">canonical definitions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scheduled</w:t>
            </w:r>
            <w:r>
              <w:t xml:space="preserve"> </w:t>
            </w:r>
            <w:r>
              <w:t xml:space="preserve">execution</w:t>
            </w:r>
            <w:r>
              <w:t xml:space="preserve"> </w:t>
            </w:r>
            <w:r>
              <w:t xml:space="preserve">cadence defined</w:t>
            </w:r>
            <w:r>
              <w:t xml:space="preserve"> </w:t>
            </w:r>
            <w:r>
              <w:t xml:space="preserve">(recommended:</w:t>
            </w:r>
            <w:r>
              <w:t xml:space="preserve"> </w:t>
            </w:r>
            <w:r>
              <w:t xml:space="preserve">weekly minimum)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t xml:space="preserve">within 5</w:t>
            </w:r>
            <w:r>
              <w:t xml:space="preserve"> </w:t>
            </w:r>
            <w:r>
              <w:t xml:space="preserve">business days</w:t>
            </w:r>
            <w:r>
              <w:t xml:space="preserve"> </w:t>
            </w:r>
            <w:r>
              <w:t xml:space="preserve">of Step 3</w:t>
            </w:r>
            <w:r>
              <w:t xml:space="preserve"> </w:t>
            </w:r>
            <w:r>
              <w:t xml:space="preserve">completion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Activate drift</w:t>
            </w:r>
            <w:r>
              <w:t xml:space="preserve"> </w:t>
            </w:r>
            <w:r>
              <w:t xml:space="preserve">detection and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workflows;</w:t>
            </w:r>
            <w:r>
              <w:t xml:space="preserve"> </w:t>
            </w:r>
            <w:r>
              <w:t xml:space="preserve">configure</w:t>
            </w:r>
            <w:r>
              <w:t xml:space="preserve"> </w:t>
            </w:r>
            <w:r>
              <w:t xml:space="preserve">severity</w:t>
            </w:r>
            <w:r>
              <w:t xml:space="preserve"> </w:t>
            </w:r>
            <w:r>
              <w:t xml:space="preserve">classification,</w:t>
            </w:r>
            <w:r>
              <w:t xml:space="preserve"> </w:t>
            </w:r>
            <w:r>
              <w:t xml:space="preserve">SLA timers, and</w:t>
            </w:r>
            <w:r>
              <w:t xml:space="preserve"> </w:t>
            </w:r>
            <w:r>
              <w:t xml:space="preserve">escalation chains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Drift Engine configuration</w:t>
            </w:r>
            <w:r>
              <w:t xml:space="preserve"> </w:t>
            </w:r>
            <w:r>
              <w:t xml:space="preserve">(PowerShell); SLA classification</w:t>
            </w:r>
            <w:r>
              <w:t xml:space="preserve"> </w:t>
            </w:r>
            <w:r>
              <w:t xml:space="preserve">rules; OrgPath-based owner</w:t>
            </w:r>
            <w:r>
              <w:t xml:space="preserve"> </w:t>
            </w:r>
            <w:r>
              <w:t xml:space="preserve">assignment; escalation workflow</w:t>
            </w:r>
            <w:r>
              <w:t xml:space="preserve"> </w:t>
            </w: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Activation</w:t>
            </w:r>
            <w:r>
              <w:t xml:space="preserve"> </w:t>
            </w:r>
            <w:r>
              <w:t xml:space="preserve">Report; SLA</w:t>
            </w:r>
            <w:r>
              <w:t xml:space="preserve"> </w:t>
            </w:r>
            <w:r>
              <w:t xml:space="preserve">Timer</w:t>
            </w:r>
            <w:r>
              <w:t xml:space="preserve"> </w:t>
            </w:r>
            <w:r>
              <w:t xml:space="preserve">Configuration;</w:t>
            </w:r>
            <w:r>
              <w:t xml:space="preserve"> </w:t>
            </w:r>
            <w:r>
              <w:t xml:space="preserve">Escalation Chain</w:t>
            </w:r>
            <w:r>
              <w:t xml:space="preserve"> </w:t>
            </w: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 +</w:t>
            </w:r>
            <w:r>
              <w:t xml:space="preserve"> </w:t>
            </w:r>
            <w:r>
              <w:t xml:space="preserve">OrgPath-scoped</w:t>
            </w:r>
            <w:r>
              <w:t xml:space="preserve"> </w:t>
            </w:r>
            <w:r>
              <w:t xml:space="preserve">Admins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t xml:space="preserve">within 5</w:t>
            </w:r>
            <w:r>
              <w:t xml:space="preserve"> </w:t>
            </w:r>
            <w:r>
              <w:t xml:space="preserve">business days</w:t>
            </w:r>
            <w:r>
              <w:t xml:space="preserve"> </w:t>
            </w:r>
            <w:r>
              <w:t xml:space="preserve">of Step 4</w:t>
            </w:r>
            <w:r>
              <w:t xml:space="preserve"> </w:t>
            </w:r>
            <w:r>
              <w:t xml:space="preserve">completion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SLA</w:t>
            </w:r>
            <w:r>
              <w:t xml:space="preserve"> </w:t>
            </w:r>
            <w:r>
              <w:t xml:space="preserve">heatmaps and</w:t>
            </w:r>
            <w:r>
              <w:t xml:space="preserve"> </w:t>
            </w:r>
            <w:r>
              <w:t xml:space="preserve">owner reliability</w:t>
            </w:r>
            <w:r>
              <w:t xml:space="preserve"> </w:t>
            </w:r>
            <w:r>
              <w:t xml:space="preserve">metrics;</w:t>
            </w:r>
            <w:r>
              <w:t xml:space="preserve"> </w:t>
            </w:r>
            <w:r>
              <w:t xml:space="preserve">configure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dashboard outputs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reporting scripts</w:t>
            </w:r>
            <w:r>
              <w:t xml:space="preserve"> </w:t>
            </w:r>
            <w:r>
              <w:t xml:space="preserve">generating heatmap data;</w:t>
            </w:r>
            <w:r>
              <w:t xml:space="preserve"> </w:t>
            </w:r>
            <w:r>
              <w:t xml:space="preserve">canonical dashboard rendering</w:t>
            </w:r>
            <w:r>
              <w:t xml:space="preserve"> </w:t>
            </w:r>
            <w:r>
              <w:t xml:space="preserve">pipeline (target: Revision 1.0)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Heatmap</w:t>
            </w:r>
            <w:r>
              <w:t xml:space="preserve"> </w:t>
            </w:r>
            <w:r>
              <w:t xml:space="preserve">(initial); Owner</w:t>
            </w:r>
            <w:r>
              <w:t xml:space="preserve"> </w:t>
            </w:r>
            <w:r>
              <w:t xml:space="preserve">Reliability</w:t>
            </w:r>
            <w:r>
              <w:t xml:space="preserve"> </w:t>
            </w:r>
            <w:r>
              <w:t xml:space="preserve">Metrics</w:t>
            </w:r>
            <w:r>
              <w:t xml:space="preserve"> </w:t>
            </w:r>
            <w:r>
              <w:t xml:space="preserve">Baseline;</w:t>
            </w:r>
            <w:r>
              <w:t xml:space="preserve"> </w:t>
            </w:r>
            <w:r>
              <w:t xml:space="preserve">Dashboard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(draft)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</w:t>
            </w:r>
            <w:r>
              <w:t xml:space="preserve"> </w:t>
            </w:r>
            <w:r>
              <w:t xml:space="preserve">heatmap</w:t>
            </w:r>
            <w:r>
              <w:t xml:space="preserve"> </w:t>
            </w:r>
            <w:r>
              <w:t xml:space="preserve">within 30</w:t>
            </w:r>
            <w:r>
              <w:t xml:space="preserve"> </w:t>
            </w:r>
            <w:r>
              <w:t xml:space="preserve">days of Step</w:t>
            </w:r>
            <w:r>
              <w:t xml:space="preserve"> </w:t>
            </w:r>
            <w:r>
              <w:t xml:space="preserve">5 activation;</w:t>
            </w:r>
            <w:r>
              <w:t xml:space="preserve"> </w:t>
            </w:r>
            <w:r>
              <w:t xml:space="preserve">ongoing</w:t>
            </w:r>
            <w:r>
              <w:t xml:space="preserve"> </w:t>
            </w:r>
            <w:r>
              <w:t xml:space="preserve">refinement</w:t>
            </w:r>
          </w:p>
        </w:tc>
      </w:tr>
    </w:tbl>
    <w:bookmarkEnd w:id="62"/>
    <w:bookmarkStart w:id="63" w:name="powershell-first-execution"/>
    <w:p>
      <w:pPr>
        <w:pStyle w:val="Heading2"/>
      </w:pPr>
      <w:r>
        <w:t xml:space="preserve">9.5 PowerShell-First Execution</w:t>
      </w:r>
    </w:p>
    <w:p>
      <w:pPr>
        <w:pStyle w:val="FirstParagraph"/>
      </w:pPr>
      <w:r>
        <w:t xml:space="preserve">All ScubaGear execution and UIAO SCuBA orchestration uses</w:t>
      </w:r>
      <w:r>
        <w:t xml:space="preserve"> </w:t>
      </w:r>
      <w:r>
        <w:rPr>
          <w:b/>
          <w:bCs/>
        </w:rPr>
        <w:t xml:space="preserve">PowerShell</w:t>
      </w:r>
      <w:r>
        <w:rPr>
          <w:b/>
          <w:bCs/>
        </w:rPr>
        <w:t xml:space="preserve"> </w:t>
      </w:r>
      <w:r>
        <w:rPr>
          <w:b/>
          <w:bCs/>
        </w:rPr>
        <w:t xml:space="preserve">as the primary execution framework</w:t>
      </w:r>
      <w:r>
        <w:t xml:space="preserve">, consistent with UIAO's</w:t>
      </w:r>
      <w:r>
        <w:t xml:space="preserve"> </w:t>
      </w:r>
      <w:r>
        <w:t xml:space="preserve">PowerShell-first operational model. ScubaGear is natively a PowerShell</w:t>
      </w:r>
      <w:r>
        <w:t xml:space="preserve"> </w:t>
      </w:r>
      <w:r>
        <w:t xml:space="preserve">module. UIAO SCuBA orchestration scripts are authored in PowerShell 7.x,</w:t>
      </w:r>
      <w:r>
        <w:t xml:space="preserve"> </w:t>
      </w:r>
      <w:r>
        <w:t xml:space="preserve">leveraging Microsoft Graph PowerShell SDK, Exchange Online Management</w:t>
      </w:r>
      <w:r>
        <w:t xml:space="preserve"> </w:t>
      </w:r>
      <w:r>
        <w:t xml:space="preserve">module, and native PowerShell scheduling capabilities. No GUI-dependent</w:t>
      </w:r>
      <w:r>
        <w:t xml:space="preserve"> </w:t>
      </w:r>
      <w:r>
        <w:t xml:space="preserve">or portal-dependent execution paths are permitted for production</w:t>
      </w:r>
      <w:r>
        <w:t xml:space="preserve"> </w:t>
      </w:r>
      <w:r>
        <w:t xml:space="preserve">operations — all execution must be scriptable, repeatable, and</w:t>
      </w:r>
      <w:r>
        <w:t xml:space="preserve"> </w:t>
      </w:r>
      <w:r>
        <w:t xml:space="preserve">auditable.</w:t>
      </w:r>
    </w:p>
    <w:bookmarkEnd w:id="63"/>
    <w:bookmarkEnd w:id="64"/>
    <w:bookmarkStart w:id="74" w:name="X5662bfefe20d0a05c798b17092e63401692beeb"/>
    <w:p>
      <w:pPr>
        <w:pStyle w:val="Heading1"/>
      </w:pPr>
      <w:r>
        <w:t xml:space="preserve">Section 10: Drift Detection and Remediation</w:t>
      </w:r>
    </w:p>
    <w:bookmarkStart w:id="65" w:name="drift-definition"/>
    <w:p>
      <w:pPr>
        <w:pStyle w:val="Heading2"/>
      </w:pPr>
      <w:r>
        <w:t xml:space="preserve">10.1 Drift Definition</w:t>
      </w:r>
    </w:p>
    <w:p>
      <w:pPr>
        <w:pStyle w:val="FirstParagraph"/>
      </w:pPr>
      <w:r>
        <w:rPr>
          <w:b/>
          <w:bCs/>
        </w:rPr>
        <w:t xml:space="preserve">Configuration drift</w:t>
      </w:r>
      <w:r>
        <w:t xml:space="preserve"> </w:t>
      </w:r>
      <w:r>
        <w:t xml:space="preserve">occurs when the live state of a tenant, device,</w:t>
      </w:r>
      <w:r>
        <w:t xml:space="preserve"> </w:t>
      </w:r>
      <w:r>
        <w:t xml:space="preserve">or policy deviates from its</w:t>
      </w:r>
      <w:r>
        <w:t xml:space="preserve"> </w:t>
      </w:r>
      <w:r>
        <w:rPr>
          <w:b/>
          <w:bCs/>
        </w:rPr>
        <w:t xml:space="preserve">canonical desired state</w:t>
      </w:r>
      <w:r>
        <w:t xml:space="preserve">. Drift is the</w:t>
      </w:r>
      <w:r>
        <w:t xml:space="preserve"> </w:t>
      </w:r>
      <w:r>
        <w:t xml:space="preserve">primary operational risk in modernized environments because it is</w:t>
      </w:r>
      <w:r>
        <w:t xml:space="preserve"> </w:t>
      </w:r>
      <w:r>
        <w:rPr>
          <w:b/>
          <w:bCs/>
        </w:rPr>
        <w:t xml:space="preserve">silent</w:t>
      </w:r>
      <w:r>
        <w:t xml:space="preserve"> </w:t>
      </w:r>
      <w:r>
        <w:t xml:space="preserve">(no alert fires unless detection is active),</w:t>
      </w:r>
      <w:r>
        <w:t xml:space="preserve"> </w:t>
      </w:r>
      <w:r>
        <w:rPr>
          <w:b/>
          <w:bCs/>
        </w:rPr>
        <w:t xml:space="preserve">cumulative</w:t>
      </w:r>
      <w:r>
        <w:t xml:space="preserve"> </w:t>
      </w:r>
      <w:r>
        <w:t xml:space="preserve">(small deviations compound over time), and</w:t>
      </w:r>
      <w:r>
        <w:t xml:space="preserve"> </w:t>
      </w:r>
      <w:r>
        <w:rPr>
          <w:b/>
          <w:bCs/>
        </w:rPr>
        <w:t xml:space="preserve">often invisible</w:t>
      </w:r>
      <w:r>
        <w:t xml:space="preserve"> </w:t>
      </w:r>
      <w:r>
        <w:t xml:space="preserve">until</w:t>
      </w:r>
      <w:r>
        <w:t xml:space="preserve"> </w:t>
      </w:r>
      <w:r>
        <w:t xml:space="preserve">audit or incident exposes the gap. In legacy environments, drift was</w:t>
      </w:r>
      <w:r>
        <w:t xml:space="preserve"> </w:t>
      </w:r>
      <w:r>
        <w:t xml:space="preserve">managed reactively — discovered during audits, incident</w:t>
      </w:r>
      <w:r>
        <w:t xml:space="preserve"> </w:t>
      </w:r>
      <w:r>
        <w:t xml:space="preserve">investigations, or compliance reviews. The UIAO modernization model</w:t>
      </w:r>
      <w:r>
        <w:t xml:space="preserve"> </w:t>
      </w:r>
      <w:r>
        <w:t xml:space="preserve">replaces reactive drift discovery with continuous, proactive drift</w:t>
      </w:r>
      <w:r>
        <w:t xml:space="preserve"> </w:t>
      </w:r>
      <w:r>
        <w:t xml:space="preserve">detection.</w:t>
      </w:r>
    </w:p>
    <w:bookmarkEnd w:id="65"/>
    <w:bookmarkStart w:id="66" w:name="Xcbe63f6f6756f245daf774b66a702ee825288d9"/>
    <w:p>
      <w:pPr>
        <w:pStyle w:val="Heading2"/>
      </w:pPr>
      <w:r>
        <w:t xml:space="preserve">10.2 Microsoft Unified Tenant Configuration Management (UTCM)</w:t>
      </w:r>
    </w:p>
    <w:p>
      <w:pPr>
        <w:pStyle w:val="FirstParagraph"/>
      </w:pPr>
      <w:r>
        <w:rPr>
          <w:b/>
          <w:bCs/>
        </w:rPr>
        <w:t xml:space="preserve">Unified Tenant Configuration Management (UTCM)</w:t>
      </w:r>
      <w:r>
        <w:t xml:space="preserve">, now in public</w:t>
      </w:r>
      <w:r>
        <w:t xml:space="preserve"> </w:t>
      </w:r>
      <w:r>
        <w:t xml:space="preserve">preview, introduces native desired-state monitoring via Microsoft Graph.</w:t>
      </w:r>
      <w:r>
        <w:t xml:space="preserve"> </w:t>
      </w:r>
      <w:r>
        <w:t xml:space="preserve">UTCM allows administrators to define what the configuration state</w:t>
      </w:r>
      <w:r>
        <w:t xml:space="preserve"> </w:t>
      </w:r>
      <w:r>
        <w:rPr>
          <w:b/>
          <w:bCs/>
        </w:rPr>
        <w:t xml:space="preserve">should be</w:t>
      </w:r>
      <w:r>
        <w:t xml:space="preserve"> </w:t>
      </w:r>
      <w:r>
        <w:t xml:space="preserve">(the desired state) and Microsoft Graph evaluates the live</w:t>
      </w:r>
      <w:r>
        <w:t xml:space="preserve"> </w:t>
      </w:r>
      <w:r>
        <w:t xml:space="preserve">configuration against that definition on a periodic basis. Drifts —</w:t>
      </w:r>
      <w:r>
        <w:t xml:space="preserve"> </w:t>
      </w:r>
      <w:r>
        <w:t xml:space="preserve">deviations from the desired state — are surfaced automatically. UTCM</w:t>
      </w:r>
      <w:r>
        <w:t xml:space="preserve"> </w:t>
      </w:r>
      <w:r>
        <w:t xml:space="preserve">is a significant platform advancement because it shifts M365</w:t>
      </w:r>
      <w:r>
        <w:t xml:space="preserve"> </w:t>
      </w:r>
      <w:r>
        <w:t xml:space="preserve">configuration management from imperative ("set this value") to</w:t>
      </w:r>
      <w:r>
        <w:t xml:space="preserve"> </w:t>
      </w:r>
      <w:r>
        <w:t xml:space="preserve">declarative ("this value should be X; alert me if it changes").</w:t>
      </w:r>
    </w:p>
    <w:bookmarkEnd w:id="66"/>
    <w:bookmarkStart w:id="67" w:name="uiao-drift-detection-model"/>
    <w:p>
      <w:pPr>
        <w:pStyle w:val="Heading2"/>
      </w:pPr>
      <w:r>
        <w:t xml:space="preserve">10.3 UIAO Drift Detection Model</w:t>
      </w:r>
    </w:p>
    <w:p>
      <w:pPr>
        <w:pStyle w:val="FirstParagraph"/>
      </w:pPr>
      <w:r>
        <w:t xml:space="preserve">UIAO extends UTCM and ScubaGear with a</w:t>
      </w:r>
      <w:r>
        <w:t xml:space="preserve"> </w:t>
      </w:r>
      <w:r>
        <w:rPr>
          <w:b/>
          <w:bCs/>
        </w:rPr>
        <w:t xml:space="preserve">governance-grade drift</w:t>
      </w:r>
      <w:r>
        <w:rPr>
          <w:b/>
          <w:bCs/>
        </w:rPr>
        <w:t xml:space="preserve"> </w:t>
      </w:r>
      <w:r>
        <w:rPr>
          <w:b/>
          <w:bCs/>
        </w:rPr>
        <w:t xml:space="preserve">detection framework</w:t>
      </w:r>
      <w:r>
        <w:t xml:space="preserve"> </w:t>
      </w:r>
      <w:r>
        <w:t xml:space="preserve">that adds accountability, SLA enforcement, and</w:t>
      </w:r>
      <w:r>
        <w:t xml:space="preserve"> </w:t>
      </w:r>
      <w:r>
        <w:t xml:space="preserve">provenance tracking. The UIAO drift detection model includes: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Canonical desired-state definitions</w:t>
      </w:r>
      <w:r>
        <w:t xml:space="preserve"> </w:t>
      </w:r>
      <w:r>
        <w:t xml:space="preserve">stored in the governance</w:t>
      </w:r>
      <w:r>
        <w:t xml:space="preserve"> </w:t>
      </w:r>
      <w:r>
        <w:t xml:space="preserve">repository (canon/). These definitions are the authoritative source of</w:t>
      </w:r>
      <w:r>
        <w:t xml:space="preserve"> </w:t>
      </w:r>
      <w:r>
        <w:t xml:space="preserve">truth for what every configuration should be. They are versioned,</w:t>
      </w:r>
      <w:r>
        <w:t xml:space="preserve"> </w:t>
      </w:r>
      <w:r>
        <w:t xml:space="preserve">immutable (history preserved), and owned.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Automated drift detection</w:t>
      </w:r>
      <w:r>
        <w:t xml:space="preserve"> </w:t>
      </w:r>
      <w:r>
        <w:t xml:space="preserve">via scheduled PowerShell execution.</w:t>
      </w:r>
      <w:r>
        <w:t xml:space="preserve"> </w:t>
      </w:r>
      <w:r>
        <w:t xml:space="preserve">Detection sources include UTCM (Graph-based), ScubaGear (M365 workload</w:t>
      </w:r>
      <w:r>
        <w:t xml:space="preserve"> </w:t>
      </w:r>
      <w:r>
        <w:t xml:space="preserve">assessment), Azure Policy (Arc-managed servers), and custom PowerShell</w:t>
      </w:r>
      <w:r>
        <w:t xml:space="preserve"> </w:t>
      </w:r>
      <w:r>
        <w:t xml:space="preserve">detection scripts for configurations not covered by the above.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Drift classification</w:t>
      </w:r>
      <w:r>
        <w:t xml:space="preserve"> </w:t>
      </w:r>
      <w:r>
        <w:t xml:space="preserve">— every detected drift is classified by</w:t>
      </w:r>
      <w:r>
        <w:t xml:space="preserve"> </w:t>
      </w:r>
      <w:r>
        <w:t xml:space="preserve">severity: Critical, High, Medium, or Low. Classification drives</w:t>
      </w:r>
      <w:r>
        <w:t xml:space="preserve"> </w:t>
      </w:r>
      <w:r>
        <w:t xml:space="preserve">SLA-bound remediation timelines.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Owner accountability</w:t>
      </w:r>
      <w:r>
        <w:t xml:space="preserve"> </w:t>
      </w:r>
      <w:r>
        <w:t xml:space="preserve">— every drift is assigned to the owner of</w:t>
      </w:r>
      <w:r>
        <w:t xml:space="preserve"> </w:t>
      </w:r>
      <w:r>
        <w:t xml:space="preserve">the drifted artifact, resolved via OrgPath and the ownership registers</w:t>
      </w:r>
      <w:r>
        <w:t xml:space="preserve"> </w:t>
      </w:r>
      <w:r>
        <w:t xml:space="preserve">maintained in canon/. The owner is accountable for remediation within</w:t>
      </w:r>
      <w:r>
        <w:t xml:space="preserve"> </w:t>
      </w:r>
      <w:r>
        <w:t xml:space="preserve">SLA.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Escalation workflows</w:t>
      </w:r>
      <w:r>
        <w:t xml:space="preserve"> </w:t>
      </w:r>
      <w:r>
        <w:t xml:space="preserve">— unresolved drifts escalate through</w:t>
      </w:r>
      <w:r>
        <w:t xml:space="preserve"> </w:t>
      </w:r>
      <w:r>
        <w:t xml:space="preserve">defined chains. Escalation triggers are time-based (SLA percentage</w:t>
      </w:r>
      <w:r>
        <w:t xml:space="preserve"> </w:t>
      </w:r>
      <w:r>
        <w:t xml:space="preserve">consumed) and severity-based (Critical drifts escalate faster).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Governance provenance</w:t>
      </w:r>
      <w:r>
        <w:t xml:space="preserve"> </w:t>
      </w:r>
      <w:r>
        <w:t xml:space="preserve">— every drift detection event, remediation</w:t>
      </w:r>
      <w:r>
        <w:t xml:space="preserve"> </w:t>
      </w:r>
      <w:r>
        <w:t xml:space="preserve">action, validation check, and resolution is machine-tracked as a</w:t>
      </w:r>
      <w:r>
        <w:t xml:space="preserve"> </w:t>
      </w:r>
      <w:r>
        <w:t xml:space="preserve">provenance record in canon/. This creates the auditable evidence chain</w:t>
      </w:r>
      <w:r>
        <w:t xml:space="preserve"> </w:t>
      </w:r>
      <w:r>
        <w:t xml:space="preserve">required for compliance demonstrations.</w:t>
      </w:r>
    </w:p>
    <w:bookmarkEnd w:id="67"/>
    <w:bookmarkStart w:id="68" w:name="drift-detection-domains"/>
    <w:p>
      <w:pPr>
        <w:pStyle w:val="Heading2"/>
      </w:pPr>
      <w:r>
        <w:t xml:space="preserve">10.4 Drift Detection Domains</w:t>
      </w:r>
    </w:p>
    <w:p>
      <w:pPr>
        <w:pStyle w:val="FirstParagraph"/>
      </w:pPr>
      <w:r>
        <w:t xml:space="preserve">The UIAO drift detection framework monitors the following domains: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Identity configuration:</w:t>
      </w:r>
      <w:r>
        <w:t xml:space="preserve"> </w:t>
      </w:r>
      <w:r>
        <w:t xml:space="preserve">Conditional Access policies, MFA</w:t>
      </w:r>
      <w:r>
        <w:t xml:space="preserve"> </w:t>
      </w:r>
      <w:r>
        <w:t xml:space="preserve">enforcement settings, authentication method policies, named locations,</w:t>
      </w:r>
      <w:r>
        <w:t xml:space="preserve"> </w:t>
      </w:r>
      <w:r>
        <w:t xml:space="preserve">admin role assignments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Device compliance:</w:t>
      </w:r>
      <w:r>
        <w:t xml:space="preserve"> </w:t>
      </w:r>
      <w:r>
        <w:t xml:space="preserve">Encryption status (BitLocker), patching</w:t>
      </w:r>
      <w:r>
        <w:t xml:space="preserve"> </w:t>
      </w:r>
      <w:r>
        <w:t xml:space="preserve">currency, OS version/build, compliance policy evaluation results,</w:t>
      </w:r>
      <w:r>
        <w:t xml:space="preserve"> </w:t>
      </w:r>
      <w:r>
        <w:t xml:space="preserve">management enrollment status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Policy configuration:</w:t>
      </w:r>
      <w:r>
        <w:t xml:space="preserve"> </w:t>
      </w:r>
      <w:r>
        <w:t xml:space="preserve">Intune Settings Catalog policies, security</w:t>
      </w:r>
      <w:r>
        <w:t xml:space="preserve"> </w:t>
      </w:r>
      <w:r>
        <w:t xml:space="preserve">baselines, endpoint protection profiles, Windows Update for Business</w:t>
      </w:r>
      <w:r>
        <w:t xml:space="preserve"> </w:t>
      </w:r>
      <w:r>
        <w:t xml:space="preserve">rings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Collaboration settings:</w:t>
      </w:r>
      <w:r>
        <w:t xml:space="preserve"> </w:t>
      </w:r>
      <w:r>
        <w:t xml:space="preserve">Teams meeting and messaging policies,</w:t>
      </w:r>
      <w:r>
        <w:t xml:space="preserve"> </w:t>
      </w:r>
      <w:r>
        <w:t xml:space="preserve">SharePoint sharing and access control settings, Exchange Online</w:t>
      </w:r>
      <w:r>
        <w:t xml:space="preserve"> </w:t>
      </w:r>
      <w:r>
        <w:t xml:space="preserve">transport rules and anti-phishing configurations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SCuBA baselines:</w:t>
      </w:r>
      <w:r>
        <w:t xml:space="preserve"> </w:t>
      </w:r>
      <w:r>
        <w:t xml:space="preserve">All workloads assessed by ScubaGear (Entra ID,</w:t>
      </w:r>
      <w:r>
        <w:t xml:space="preserve"> </w:t>
      </w:r>
      <w:r>
        <w:t xml:space="preserve">Exchange Online, SharePoint Online, Teams, Power BI, Power Platform)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Server configuration:</w:t>
      </w:r>
      <w:r>
        <w:t xml:space="preserve"> </w:t>
      </w:r>
      <w:r>
        <w:t xml:space="preserve">Arc-managed servers via Azure Policy /</w:t>
      </w:r>
      <w:r>
        <w:t xml:space="preserve"> </w:t>
      </w:r>
      <w:r>
        <w:t xml:space="preserve">Machine Configuration; patch compliance via Azure Update Manager;</w:t>
      </w:r>
      <w:r>
        <w:t xml:space="preserve"> </w:t>
      </w:r>
      <w:r>
        <w:t xml:space="preserve">change tracking alerts</w:t>
      </w:r>
    </w:p>
    <w:bookmarkEnd w:id="68"/>
    <w:bookmarkStart w:id="72" w:name="remediation-workflow"/>
    <w:p>
      <w:pPr>
        <w:pStyle w:val="Heading2"/>
      </w:pPr>
      <w:r>
        <w:t xml:space="preserve">10.5 Remediation Workflow</w:t>
      </w:r>
    </w:p>
    <w:p>
      <w:pPr>
        <w:pStyle w:val="FirstParagraph"/>
      </w:pPr>
      <w:r>
        <w:t xml:space="preserve">The UIAO remediation workflow follows a deterministic sequence:</w:t>
      </w:r>
      <w:r>
        <w:t xml:space="preserve"> </w:t>
      </w:r>
      <w:r>
        <w:rPr>
          <w:b/>
          <w:bCs/>
        </w:rPr>
        <w:t xml:space="preserve">Detect</w:t>
      </w:r>
      <w:r>
        <w:t xml:space="preserve"> </w:t>
      </w:r>
      <w:r>
        <w:t xml:space="preserve">(drift identified by detection source) →</w:t>
      </w:r>
      <w:r>
        <w:t xml:space="preserve"> </w:t>
      </w:r>
      <w:r>
        <w:rPr>
          <w:b/>
          <w:bCs/>
        </w:rPr>
        <w:t xml:space="preserve">Classify</w:t>
      </w:r>
      <w:r>
        <w:t xml:space="preserve"> </w:t>
      </w:r>
      <w:r>
        <w:t xml:space="preserve">(severity assigned per classification matrix) →</w:t>
      </w:r>
      <w:r>
        <w:t xml:space="preserve"> </w:t>
      </w:r>
      <w:r>
        <w:rPr>
          <w:b/>
          <w:bCs/>
        </w:rPr>
        <w:t xml:space="preserve">Assign Owner</w:t>
      </w:r>
      <w:r>
        <w:t xml:space="preserve"> </w:t>
      </w:r>
      <w:r>
        <w:t xml:space="preserve">(resolved via OrgPath and ownership registers) →</w:t>
      </w:r>
      <w:r>
        <w:t xml:space="preserve"> </w:t>
      </w:r>
      <w:r>
        <w:rPr>
          <w:b/>
          <w:bCs/>
        </w:rPr>
        <w:t xml:space="preserve">SLA Timer Starts</w:t>
      </w:r>
      <w:r>
        <w:t xml:space="preserve"> </w:t>
      </w:r>
      <w:r>
        <w:t xml:space="preserve">(clock begins at classification) →</w:t>
      </w:r>
      <w:r>
        <w:t xml:space="preserve"> </w:t>
      </w:r>
      <w:r>
        <w:rPr>
          <w:b/>
          <w:bCs/>
        </w:rPr>
        <w:t xml:space="preserve">Remediate</w:t>
      </w:r>
      <w:r>
        <w:t xml:space="preserve"> </w:t>
      </w:r>
      <w:r>
        <w:t xml:space="preserve">(owner executes</w:t>
      </w:r>
      <w:r>
        <w:t xml:space="preserve"> </w:t>
      </w:r>
      <w:r>
        <w:t xml:space="preserve">corrective action — automated or manual) →</w:t>
      </w:r>
      <w:r>
        <w:t xml:space="preserve"> </w:t>
      </w:r>
      <w:r>
        <w:rPr>
          <w:b/>
          <w:bCs/>
        </w:rPr>
        <w:t xml:space="preserve">Validate</w:t>
      </w:r>
      <w:r>
        <w:t xml:space="preserve"> </w:t>
      </w:r>
      <w:r>
        <w:t xml:space="preserve">(detection</w:t>
      </w:r>
      <w:r>
        <w:t xml:space="preserve"> </w:t>
      </w:r>
      <w:r>
        <w:t xml:space="preserve">source re-evaluates to confirm drift is resolved) →</w:t>
      </w:r>
      <w:r>
        <w:t xml:space="preserve"> </w:t>
      </w:r>
      <w:r>
        <w:rPr>
          <w:b/>
          <w:bCs/>
        </w:rPr>
        <w:t xml:space="preserve">Close</w:t>
      </w:r>
      <w:r>
        <w:t xml:space="preserve"> </w:t>
      </w:r>
      <w:r>
        <w:t xml:space="preserve">(drift</w:t>
      </w:r>
      <w:r>
        <w:t xml:space="preserve"> </w:t>
      </w:r>
      <w:r>
        <w:t xml:space="preserve">record closed with resolution details) →</w:t>
      </w:r>
      <w:r>
        <w:t xml:space="preserve"> </w:t>
      </w:r>
      <w:r>
        <w:rPr>
          <w:b/>
          <w:bCs/>
        </w:rPr>
        <w:t xml:space="preserve">Provenance Record</w:t>
      </w:r>
      <w:r>
        <w:t xml:space="preserve"> </w:t>
      </w:r>
      <w:r>
        <w:t xml:space="preserve">(full</w:t>
      </w:r>
      <w:r>
        <w:t xml:space="preserve"> </w:t>
      </w:r>
      <w:r>
        <w:t xml:space="preserve">event chain written to canon/).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2.3 — Diagram showing the UIAO Drift Detection and Remediation Workflow: Detection Sources (UTCM via" title="" id="70" name="Picture"/>
            <a:graphic>
              <a:graphicData uri="http://schemas.openxmlformats.org/drawingml/2006/picture">
                <pic:pic>
                  <pic:nvPicPr>
                    <pic:cNvPr descr="images/02-03-diagram-showing-the-uiao-drift-detection-and-remediation-wor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2.3 — Diagram showing the UIAO Drift Detection and Remediation Workflow: Detection Sources (UTCM via</w:t>
      </w:r>
    </w:p>
    <w:bookmarkEnd w:id="72"/>
    <w:bookmarkStart w:id="73" w:name="X3be15ce94d180daabbb5b489a07ec8004ce2fef"/>
    <w:p>
      <w:pPr>
        <w:pStyle w:val="Heading2"/>
      </w:pPr>
      <w:r>
        <w:t xml:space="preserve">Table 9: Drift Classification and SLA Matrix</w:t>
      </w:r>
    </w:p>
    <w:tbl>
      <w:tblPr>
        <w:tblStyle w:val="Table"/>
        <w:tblW w:type="pct" w:w="4895"/>
        <w:tblLayout w:type="fixed"/>
        <w:tblLook w:firstRow="1" w:lastRow="0" w:firstColumn="0" w:lastColumn="0" w:noHBand="0" w:noVBand="0" w:val="0020"/>
      </w:tblPr>
      <w:tblGrid>
        <w:gridCol w:w="1250"/>
        <w:gridCol w:w="1834"/>
        <w:gridCol w:w="1333"/>
        <w:gridCol w:w="1417"/>
        <w:gridCol w:w="191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 for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Escalation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that creates an</w:t>
            </w:r>
            <w:r>
              <w:t xml:space="preserve"> </w:t>
            </w:r>
            <w:r>
              <w:t xml:space="preserve">immediate security</w:t>
            </w:r>
            <w:r>
              <w:t xml:space="preserve"> </w:t>
            </w:r>
            <w:r>
              <w:t xml:space="preserve">exposure, disables a</w:t>
            </w:r>
            <w:r>
              <w:t xml:space="preserve"> </w:t>
            </w:r>
            <w:r>
              <w:t xml:space="preserve">core security</w:t>
            </w:r>
            <w:r>
              <w:t xml:space="preserve"> </w:t>
            </w:r>
            <w:r>
              <w:t xml:space="preserve">control, or violates</w:t>
            </w:r>
            <w:r>
              <w:t xml:space="preserve"> </w:t>
            </w:r>
            <w:r>
              <w:t xml:space="preserve">a compliance</w:t>
            </w:r>
            <w:r>
              <w:t xml:space="preserve"> </w:t>
            </w:r>
            <w:r>
              <w:t xml:space="preserve">requirement with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consequences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</w:t>
            </w:r>
            <w:r>
              <w:t xml:space="preserve"> </w:t>
            </w:r>
            <w:r>
              <w:t xml:space="preserve">Canon Steward at</w:t>
            </w:r>
            <w:r>
              <w:t xml:space="preserve"> </w:t>
            </w:r>
            <w:r>
              <w:t xml:space="preserve">2 hours if</w:t>
            </w:r>
            <w:r>
              <w:t xml:space="preserve"> </w:t>
            </w:r>
            <w:r>
              <w:t xml:space="preserve">unresolved;</w:t>
            </w:r>
            <w:r>
              <w:t xml:space="preserve"> </w:t>
            </w:r>
            <w:r>
              <w:t xml:space="preserve">escalate to</w:t>
            </w:r>
            <w:r>
              <w:t xml:space="preserve"> </w:t>
            </w:r>
            <w:r>
              <w:t xml:space="preserve">organizational</w:t>
            </w:r>
            <w:r>
              <w:t xml:space="preserve"> </w:t>
            </w:r>
            <w:r>
              <w:t xml:space="preserve">leadership at 4</w:t>
            </w:r>
            <w:r>
              <w:t xml:space="preserve"> </w:t>
            </w:r>
            <w:r>
              <w:t xml:space="preserve">hours if</w:t>
            </w:r>
            <w:r>
              <w:t xml:space="preserve"> </w:t>
            </w:r>
            <w:r>
              <w:t xml:space="preserve">unresolved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Access</w:t>
            </w:r>
            <w:r>
              <w:t xml:space="preserve"> </w:t>
            </w:r>
            <w:r>
              <w:t xml:space="preserve">policy requiring MFA</w:t>
            </w:r>
            <w:r>
              <w:t xml:space="preserve"> </w:t>
            </w:r>
            <w:r>
              <w:t xml:space="preserve">for all users is</w:t>
            </w:r>
            <w:r>
              <w:t xml:space="preserve"> </w:t>
            </w:r>
            <w:r>
              <w:t xml:space="preserve">disabled or modified</w:t>
            </w:r>
            <w:r>
              <w:t xml:space="preserve"> </w:t>
            </w:r>
            <w:r>
              <w:t xml:space="preserve">to exclude groups;</w:t>
            </w:r>
            <w:r>
              <w:t xml:space="preserve"> </w:t>
            </w:r>
            <w:r>
              <w:t xml:space="preserve">ScubaGear detects</w:t>
            </w:r>
            <w:r>
              <w:t xml:space="preserve"> </w:t>
            </w:r>
            <w:r>
              <w:t xml:space="preserve">external forwarding</w:t>
            </w:r>
            <w:r>
              <w:t xml:space="preserve"> </w:t>
            </w:r>
            <w:r>
              <w:t xml:space="preserve">enabled in Exchange</w:t>
            </w:r>
            <w:r>
              <w:t xml:space="preserve"> </w:t>
            </w:r>
            <w:r>
              <w:t xml:space="preserve">Online; BitLocker</w:t>
            </w:r>
            <w:r>
              <w:t xml:space="preserve"> </w:t>
            </w:r>
            <w:r>
              <w:t xml:space="preserve">enforcement policy</w:t>
            </w:r>
            <w:r>
              <w:t xml:space="preserve"> </w:t>
            </w:r>
            <w:r>
              <w:t xml:space="preserve">removed from</w:t>
            </w:r>
            <w:r>
              <w:t xml:space="preserve"> </w:t>
            </w:r>
            <w:r>
              <w:t xml:space="preserve">compliance baseline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that weakens a</w:t>
            </w:r>
            <w:r>
              <w:t xml:space="preserve"> </w:t>
            </w:r>
            <w:r>
              <w:t xml:space="preserve">security control,</w:t>
            </w:r>
            <w:r>
              <w:t xml:space="preserve"> </w:t>
            </w:r>
            <w:r>
              <w:t xml:space="preserve">degrades compliance</w:t>
            </w:r>
            <w:r>
              <w:t xml:space="preserve"> </w:t>
            </w:r>
            <w:r>
              <w:t xml:space="preserve">posture, or affects a</w:t>
            </w:r>
            <w:r>
              <w:t xml:space="preserve"> </w:t>
            </w:r>
            <w:r>
              <w:t xml:space="preserve">governance-critical</w:t>
            </w:r>
            <w:r>
              <w:t xml:space="preserve"> </w:t>
            </w:r>
            <w:r>
              <w:t xml:space="preserve">configuration without</w:t>
            </w:r>
            <w:r>
              <w:t xml:space="preserve"> </w:t>
            </w:r>
            <w:r>
              <w:t xml:space="preserve">creating immediate</w:t>
            </w:r>
            <w:r>
              <w:t xml:space="preserve"> </w:t>
            </w:r>
            <w:r>
              <w:t xml:space="preserve">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</w:t>
            </w:r>
            <w:r>
              <w:t xml:space="preserve"> </w:t>
            </w:r>
            <w:r>
              <w:t xml:space="preserve">Canon Steward at</w:t>
            </w:r>
            <w:r>
              <w:t xml:space="preserve"> </w:t>
            </w:r>
            <w:r>
              <w:t xml:space="preserve">12 hours if</w:t>
            </w:r>
            <w:r>
              <w:t xml:space="preserve"> </w:t>
            </w:r>
            <w:r>
              <w:t xml:space="preserve">unresolved;</w:t>
            </w:r>
            <w:r>
              <w:t xml:space="preserve"> </w:t>
            </w:r>
            <w:r>
              <w:t xml:space="preserve">escalate to</w:t>
            </w:r>
            <w:r>
              <w:t xml:space="preserve"> </w:t>
            </w:r>
            <w:r>
              <w:t xml:space="preserve">organizational</w:t>
            </w:r>
            <w:r>
              <w:t xml:space="preserve"> </w:t>
            </w:r>
            <w:r>
              <w:t xml:space="preserve">leadership at 24</w:t>
            </w:r>
            <w:r>
              <w:t xml:space="preserve"> </w:t>
            </w:r>
            <w:r>
              <w:t xml:space="preserve">hours if</w:t>
            </w:r>
            <w:r>
              <w:t xml:space="preserve"> </w:t>
            </w:r>
            <w:r>
              <w:t xml:space="preserve">unresolved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Authentication method</w:t>
            </w:r>
            <w:r>
              <w:t xml:space="preserve"> </w:t>
            </w:r>
            <w:r>
              <w:t xml:space="preserve">policy modified to</w:t>
            </w:r>
            <w:r>
              <w:t xml:space="preserve"> </w:t>
            </w:r>
            <w:r>
              <w:t xml:space="preserve">allow less secure</w:t>
            </w:r>
            <w:r>
              <w:t xml:space="preserve"> </w:t>
            </w:r>
            <w:r>
              <w:t xml:space="preserve">methods; SharePoint</w:t>
            </w:r>
            <w:r>
              <w:t xml:space="preserve"> </w:t>
            </w:r>
            <w:r>
              <w:t xml:space="preserve">sharing settings</w:t>
            </w:r>
            <w:r>
              <w:t xml:space="preserve"> </w:t>
            </w:r>
            <w:r>
              <w:t xml:space="preserve">changed from</w:t>
            </w:r>
            <w:r>
              <w:t xml:space="preserve"> </w:t>
            </w:r>
            <w:r>
              <w:t xml:space="preserve">"specific people" to</w:t>
            </w:r>
            <w:r>
              <w:t xml:space="preserve"> </w:t>
            </w:r>
            <w:r>
              <w:t xml:space="preserve">"anyone with the</w:t>
            </w:r>
            <w:r>
              <w:t xml:space="preserve"> </w:t>
            </w:r>
            <w:r>
              <w:t xml:space="preserve">link"; Intune</w:t>
            </w:r>
            <w:r>
              <w:t xml:space="preserve"> </w:t>
            </w:r>
            <w:r>
              <w:t xml:space="preserve">security baseline</w:t>
            </w:r>
            <w:r>
              <w:t xml:space="preserve"> </w:t>
            </w:r>
            <w:r>
              <w:t xml:space="preserve">policy settings</w:t>
            </w:r>
            <w:r>
              <w:t xml:space="preserve"> </w:t>
            </w:r>
            <w:r>
              <w:t xml:space="preserve">modified from deployed</w:t>
            </w:r>
            <w:r>
              <w:t xml:space="preserve"> </w:t>
            </w:r>
            <w:r>
              <w:t xml:space="preserve">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that deviates</w:t>
            </w:r>
            <w:r>
              <w:t xml:space="preserve"> </w:t>
            </w:r>
            <w:r>
              <w:t xml:space="preserve">from desired state</w:t>
            </w:r>
            <w:r>
              <w:t xml:space="preserve"> </w:t>
            </w:r>
            <w:r>
              <w:t xml:space="preserve">but does not create</w:t>
            </w:r>
            <w:r>
              <w:t xml:space="preserve"> </w:t>
            </w:r>
            <w:r>
              <w:t xml:space="preserve">direct security or</w:t>
            </w:r>
            <w:r>
              <w:t xml:space="preserve"> </w:t>
            </w:r>
            <w:r>
              <w:t xml:space="preserve">compliance impact;</w:t>
            </w:r>
            <w:r>
              <w:t xml:space="preserve"> </w:t>
            </w:r>
            <w:r>
              <w:t xml:space="preserve">may affect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consistency or</w:t>
            </w:r>
            <w:r>
              <w:t xml:space="preserve"> </w:t>
            </w:r>
            <w:r>
              <w:t xml:space="preserve">governance hygiene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 hours (3</w:t>
            </w:r>
            <w:r>
              <w:t xml:space="preserve"> </w:t>
            </w:r>
            <w:r>
              <w:t xml:space="preserve">business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</w:t>
            </w:r>
            <w:r>
              <w:t xml:space="preserve"> </w:t>
            </w:r>
            <w:r>
              <w:t xml:space="preserve">Canon Steward at</w:t>
            </w:r>
            <w:r>
              <w:t xml:space="preserve"> </w:t>
            </w:r>
            <w:r>
              <w:t xml:space="preserve">48 hours if</w:t>
            </w:r>
            <w:r>
              <w:t xml:space="preserve"> </w:t>
            </w:r>
            <w:r>
              <w:t xml:space="preserve">unresolved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Teams meeting policy</w:t>
            </w:r>
            <w:r>
              <w:t xml:space="preserve"> </w:t>
            </w:r>
            <w:r>
              <w:t xml:space="preserve">modified to change</w:t>
            </w:r>
            <w:r>
              <w:t xml:space="preserve"> </w:t>
            </w:r>
            <w:r>
              <w:t xml:space="preserve">recording default;</w:t>
            </w:r>
            <w:r>
              <w:t xml:space="preserve"> </w:t>
            </w:r>
            <w:r>
              <w:t xml:space="preserve">Power BI tenant</w:t>
            </w:r>
            <w:r>
              <w:t xml:space="preserve"> </w:t>
            </w:r>
            <w:r>
              <w:t xml:space="preserve">setting changed from</w:t>
            </w:r>
            <w:r>
              <w:t xml:space="preserve"> </w:t>
            </w:r>
            <w:r>
              <w:t xml:space="preserve">desired state; Windows</w:t>
            </w:r>
            <w:r>
              <w:t xml:space="preserve"> </w:t>
            </w:r>
            <w:r>
              <w:t xml:space="preserve">Update ring deferral</w:t>
            </w:r>
            <w:r>
              <w:t xml:space="preserve"> </w:t>
            </w:r>
            <w:r>
              <w:t xml:space="preserve">period modified from</w:t>
            </w:r>
            <w:r>
              <w:t xml:space="preserve"> </w:t>
            </w:r>
            <w:r>
              <w:t xml:space="preserve">canonical 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from desired</w:t>
            </w:r>
            <w:r>
              <w:t xml:space="preserve"> </w:t>
            </w:r>
            <w:r>
              <w:t xml:space="preserve">state in</w:t>
            </w:r>
            <w:r>
              <w:t xml:space="preserve"> </w:t>
            </w:r>
            <w:r>
              <w:t xml:space="preserve">non-security,</w:t>
            </w:r>
            <w:r>
              <w:t xml:space="preserve"> </w:t>
            </w:r>
            <w:r>
              <w:t xml:space="preserve">non-compliance</w:t>
            </w:r>
            <w:r>
              <w:t xml:space="preserve"> </w:t>
            </w:r>
            <w:r>
              <w:t xml:space="preserve">configurations;</w:t>
            </w:r>
            <w:r>
              <w:t xml:space="preserve"> </w:t>
            </w:r>
            <w:r>
              <w:t xml:space="preserve">cosmetic, preference,</w:t>
            </w:r>
            <w:r>
              <w:t xml:space="preserve"> </w:t>
            </w:r>
            <w:r>
              <w:t xml:space="preserve">or optimization</w:t>
            </w:r>
            <w:r>
              <w:t xml:space="preserve"> </w:t>
            </w:r>
            <w:r>
              <w:t xml:space="preserve">settings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business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in</w:t>
            </w:r>
            <w:r>
              <w:t xml:space="preserve"> </w:t>
            </w:r>
            <w:r>
              <w:t xml:space="preserve">weekly drift</w:t>
            </w:r>
            <w:r>
              <w:t xml:space="preserve"> </w:t>
            </w:r>
            <w:r>
              <w:t xml:space="preserve">summary report;</w:t>
            </w:r>
            <w:r>
              <w:t xml:space="preserve"> </w:t>
            </w:r>
            <w:r>
              <w:t xml:space="preserve">escalation only</w:t>
            </w:r>
            <w:r>
              <w:t xml:space="preserve"> </w:t>
            </w:r>
            <w:r>
              <w:t xml:space="preserve">if unresolved</w:t>
            </w:r>
            <w:r>
              <w:t xml:space="preserve"> </w:t>
            </w:r>
            <w:r>
              <w:t xml:space="preserve">for 2</w:t>
            </w:r>
            <w:r>
              <w:t xml:space="preserve"> </w:t>
            </w:r>
            <w:r>
              <w:t xml:space="preserve">consecutive</w:t>
            </w:r>
            <w:r>
              <w:t xml:space="preserve"> </w:t>
            </w:r>
            <w:r>
              <w:t xml:space="preserve">reporting cycles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Desktop wallpaper</w:t>
            </w:r>
            <w:r>
              <w:t xml:space="preserve"> </w:t>
            </w:r>
            <w:r>
              <w:t xml:space="preserve">policy modified; Start</w:t>
            </w:r>
            <w:r>
              <w:t xml:space="preserve"> </w:t>
            </w:r>
            <w:r>
              <w:t xml:space="preserve">Menu layout policy</w:t>
            </w:r>
            <w:r>
              <w:t xml:space="preserve"> </w:t>
            </w:r>
            <w:r>
              <w:t xml:space="preserve">adjusted; non-security</w:t>
            </w:r>
            <w:r>
              <w:t xml:space="preserve"> </w:t>
            </w:r>
            <w:r>
              <w:t xml:space="preserve">Intune configuration</w:t>
            </w:r>
            <w:r>
              <w:t xml:space="preserve"> </w:t>
            </w:r>
            <w:r>
              <w:t xml:space="preserve">profile setting</w:t>
            </w:r>
            <w:r>
              <w:t xml:space="preserve"> </w:t>
            </w:r>
            <w:r>
              <w:t xml:space="preserve">changed from desired</w:t>
            </w:r>
            <w:r>
              <w:t xml:space="preserve"> </w:t>
            </w:r>
            <w:r>
              <w:t xml:space="preserve">state</w:t>
            </w:r>
          </w:p>
        </w:tc>
      </w:tr>
    </w:tbl>
    <w:bookmarkEnd w:id="73"/>
    <w:bookmarkEnd w:id="74"/>
    <w:bookmarkStart w:id="79" w:name="Xf8fa607c8e7d226f6d6e3bc37ade50bd6fdf6a9"/>
    <w:p>
      <w:pPr>
        <w:pStyle w:val="Heading1"/>
      </w:pPr>
      <w:r>
        <w:t xml:space="preserve">Section 11: Governance Integration and Next Steps</w:t>
      </w:r>
    </w:p>
    <w:bookmarkStart w:id="75" w:name="canon-governance-framework-integration"/>
    <w:p>
      <w:pPr>
        <w:pStyle w:val="Heading2"/>
      </w:pPr>
      <w:r>
        <w:t xml:space="preserve">11.1 Canon Governance Framework Integration</w:t>
      </w:r>
    </w:p>
    <w:p>
      <w:pPr>
        <w:pStyle w:val="FirstParagraph"/>
      </w:pPr>
      <w:r>
        <w:t xml:space="preserve">All modernization mechanics defined in this document operate within the</w:t>
      </w:r>
      <w:r>
        <w:t xml:space="preserve"> </w:t>
      </w:r>
      <w:r>
        <w:rPr>
          <w:b/>
          <w:bCs/>
        </w:rPr>
        <w:t xml:space="preserve">UIAO Canon governance framework</w:t>
      </w:r>
      <w:r>
        <w:t xml:space="preserve">. Canon is the governing principle</w:t>
      </w:r>
      <w:r>
        <w:t xml:space="preserve"> </w:t>
      </w:r>
      <w:r>
        <w:t xml:space="preserve">that ensures every artifact, decision, configuration, and operational</w:t>
      </w:r>
      <w:r>
        <w:t xml:space="preserve"> </w:t>
      </w:r>
      <w:r>
        <w:t xml:space="preserve">action is traceable, owned, and auditable. The following Canon</w:t>
      </w:r>
      <w:r>
        <w:t xml:space="preserve"> </w:t>
      </w:r>
      <w:r>
        <w:t xml:space="preserve">governance rules apply to all Phase 1 outputs: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Provenance to canon/:</w:t>
      </w:r>
      <w:r>
        <w:t xml:space="preserve"> </w:t>
      </w:r>
      <w:r>
        <w:t xml:space="preserve">Every artifact produced by Phase 1 work —</w:t>
      </w:r>
      <w:r>
        <w:t xml:space="preserve"> </w:t>
      </w:r>
      <w:r>
        <w:t xml:space="preserve">policies, configurations, scripts, reports, assessment results, and</w:t>
      </w:r>
      <w:r>
        <w:t xml:space="preserve"> </w:t>
      </w:r>
      <w:r>
        <w:t xml:space="preserve">documentation — must trace provenance to</w:t>
      </w:r>
      <w:r>
        <w:t xml:space="preserve"> </w:t>
      </w:r>
      <w:r>
        <w:rPr>
          <w:b/>
          <w:bCs/>
        </w:rPr>
        <w:t xml:space="preserve">canon/</w:t>
      </w:r>
      <w:r>
        <w:t xml:space="preserve">, the single</w:t>
      </w:r>
      <w:r>
        <w:t xml:space="preserve"> </w:t>
      </w:r>
      <w:r>
        <w:t xml:space="preserve">source of truth. Artifacts without provenance are considered</w:t>
      </w:r>
      <w:r>
        <w:t xml:space="preserve"> </w:t>
      </w:r>
      <w:r>
        <w:t xml:space="preserve">unverified and are CI-blocking.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Documented ownership:</w:t>
      </w:r>
      <w:r>
        <w:t xml:space="preserve"> </w:t>
      </w:r>
      <w:r>
        <w:t xml:space="preserve">Every artifact must have a documented owner.</w:t>
      </w:r>
      <w:r>
        <w:t xml:space="preserve"> </w:t>
      </w:r>
      <w:r>
        <w:t xml:space="preserve">Ownership is recorded in the relevant register (Policy Ownership</w:t>
      </w:r>
      <w:r>
        <w:t xml:space="preserve"> </w:t>
      </w:r>
      <w:r>
        <w:t xml:space="preserve">Register, Device OrgPath Register, Boundary Assessment Register, etc.)</w:t>
      </w:r>
      <w:r>
        <w:t xml:space="preserve"> </w:t>
      </w:r>
      <w:r>
        <w:t xml:space="preserve">and is mapped to OrgPath.</w:t>
      </w:r>
      <w:r>
        <w:t xml:space="preserve"> </w:t>
      </w:r>
      <w:r>
        <w:rPr>
          <w:b/>
          <w:bCs/>
        </w:rPr>
        <w:t xml:space="preserve">Orphaned artifacts</w:t>
      </w:r>
      <w:r>
        <w:t xml:space="preserve"> </w:t>
      </w:r>
      <w:r>
        <w:t xml:space="preserve">— those without</w:t>
      </w:r>
      <w:r>
        <w:t xml:space="preserve"> </w:t>
      </w:r>
      <w:r>
        <w:t xml:space="preserve">provenance or ownership — are CI-blocking under UIAO Canon rules.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UIAO metadata schema compliance:</w:t>
      </w:r>
      <w:r>
        <w:t xml:space="preserve"> </w:t>
      </w:r>
      <w:r>
        <w:t xml:space="preserve">All artifacts must comply with</w:t>
      </w:r>
      <w:r>
        <w:t xml:space="preserve"> </w:t>
      </w:r>
      <w:r>
        <w:t xml:space="preserve">the UIAO metadata schema, which defines required fields (ID, title,</w:t>
      </w:r>
      <w:r>
        <w:t xml:space="preserve"> </w:t>
      </w:r>
      <w:r>
        <w:t xml:space="preserve">owner, status, created date, updated date, classification, provenance</w:t>
      </w:r>
      <w:r>
        <w:t xml:space="preserve"> </w:t>
      </w:r>
      <w:r>
        <w:t xml:space="preserve">chain) and optional fields (superseded_by, related_to, boundary).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Immutable history:</w:t>
      </w:r>
      <w:r>
        <w:t xml:space="preserve"> </w:t>
      </w:r>
      <w:r>
        <w:t xml:space="preserve">Canon governance requires immutable history.</w:t>
      </w:r>
      <w:r>
        <w:t xml:space="preserve"> </w:t>
      </w:r>
      <w:r>
        <w:t xml:space="preserve">Once an artifact is committed to canon/, its history is preserved.</w:t>
      </w:r>
      <w:r>
        <w:t xml:space="preserve"> </w:t>
      </w:r>
      <w:r>
        <w:t xml:space="preserve">Modifications create new versions; they do not overwrite prior</w:t>
      </w:r>
      <w:r>
        <w:t xml:space="preserve"> </w:t>
      </w:r>
      <w:r>
        <w:t xml:space="preserve">versions. This ensures auditability and rollback capability.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Deprecation protocol:</w:t>
      </w:r>
      <w:r>
        <w:t xml:space="preserve"> </w:t>
      </w:r>
      <w:r>
        <w:t xml:space="preserve">Artifacts are never deleted from canon/.</w:t>
      </w:r>
      <w:r>
        <w:t xml:space="preserve"> </w:t>
      </w:r>
      <w:r>
        <w:t xml:space="preserve">When an artifact is superseded, its status is changed to</w:t>
      </w:r>
      <w:r>
        <w:t xml:space="preserve"> </w:t>
      </w:r>
      <w:r>
        <w:rPr>
          <w:b/>
          <w:bCs/>
        </w:rPr>
        <w:t xml:space="preserve">DEPRECATED</w:t>
      </w:r>
      <w:r>
        <w:t xml:space="preserve"> </w:t>
      </w:r>
      <w:r>
        <w:t xml:space="preserve">with a</w:t>
      </w:r>
      <w:r>
        <w:t xml:space="preserve"> </w:t>
      </w:r>
      <w:r>
        <w:rPr>
          <w:b/>
          <w:bCs/>
        </w:rPr>
        <w:t xml:space="preserve">superseded_by</w:t>
      </w:r>
      <w:r>
        <w:t xml:space="preserve"> </w:t>
      </w:r>
      <w:r>
        <w:t xml:space="preserve">pointer to the replacement</w:t>
      </w:r>
      <w:r>
        <w:t xml:space="preserve"> </w:t>
      </w:r>
      <w:r>
        <w:t xml:space="preserve">artifact. This maintains provenance continuity and prevents broken</w:t>
      </w:r>
      <w:r>
        <w:t xml:space="preserve"> </w:t>
      </w:r>
      <w:r>
        <w:t xml:space="preserve">reference chains.</w:t>
      </w:r>
    </w:p>
    <w:bookmarkEnd w:id="75"/>
    <w:bookmarkStart w:id="76" w:name="canon-stewardship"/>
    <w:p>
      <w:pPr>
        <w:pStyle w:val="Heading2"/>
      </w:pPr>
      <w:r>
        <w:t xml:space="preserve">11.2 Canon Stewardship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Canon Steward</w:t>
      </w:r>
      <w:r>
        <w:t xml:space="preserve"> </w:t>
      </w:r>
      <w:r>
        <w:t xml:space="preserve">(Michael Stratton) is the governance authority</w:t>
      </w:r>
      <w:r>
        <w:t xml:space="preserve"> </w:t>
      </w:r>
      <w:r>
        <w:t xml:space="preserve">responsible for the integrity of canon/, the enforcement of governance</w:t>
      </w:r>
      <w:r>
        <w:t xml:space="preserve"> </w:t>
      </w:r>
      <w:r>
        <w:t xml:space="preserve">rules, and the resolution of governance disputes. Canon Stewardship</w:t>
      </w:r>
      <w:r>
        <w:t xml:space="preserve"> </w:t>
      </w:r>
      <w:r>
        <w:t xml:space="preserve">responsibilities within Phase 1 include: approving canonical</w:t>
      </w:r>
      <w:r>
        <w:t xml:space="preserve"> </w:t>
      </w:r>
      <w:r>
        <w:t xml:space="preserve">desired-state definitions, validating ownership assignments, reviewing</w:t>
      </w:r>
      <w:r>
        <w:t xml:space="preserve"> </w:t>
      </w:r>
      <w:r>
        <w:t xml:space="preserve">boundary assessment findings, approving drift SLA classifications, and</w:t>
      </w:r>
      <w:r>
        <w:t xml:space="preserve"> </w:t>
      </w:r>
      <w:r>
        <w:t xml:space="preserve">maintaining the integrity of all governance registers.</w:t>
      </w:r>
    </w:p>
    <w:bookmarkEnd w:id="76"/>
    <w:bookmarkStart w:id="77" w:name="next-steps-revision-0.x-to-revision-1.0"/>
    <w:p>
      <w:pPr>
        <w:pStyle w:val="Heading2"/>
      </w:pPr>
      <w:r>
        <w:t xml:space="preserve">11.3 Next Steps — Revision 0.x to Revision 1.0</w:t>
      </w:r>
    </w:p>
    <w:p>
      <w:pPr>
        <w:pStyle w:val="FirstParagraph"/>
      </w:pPr>
      <w:r>
        <w:t xml:space="preserve">This pre-release (Revision 0.x) establishes the</w:t>
      </w:r>
      <w:r>
        <w:t xml:space="preserve"> </w:t>
      </w:r>
      <w:r>
        <w:rPr>
          <w:b/>
          <w:bCs/>
        </w:rPr>
        <w:t xml:space="preserve">modernization</w:t>
      </w:r>
      <w:r>
        <w:rPr>
          <w:b/>
          <w:bCs/>
        </w:rPr>
        <w:t xml:space="preserve"> </w:t>
      </w:r>
      <w:r>
        <w:rPr>
          <w:b/>
          <w:bCs/>
        </w:rPr>
        <w:t xml:space="preserve">mechanics baseline</w:t>
      </w:r>
      <w:r>
        <w:t xml:space="preserve"> </w:t>
      </w:r>
      <w:r>
        <w:t xml:space="preserve">for UIAO Phase 1. It defines the sequencing,</w:t>
      </w:r>
      <w:r>
        <w:t xml:space="preserve"> </w:t>
      </w:r>
      <w:r>
        <w:t xml:space="preserve">technical procedures, governance controls, and gate criteria for all</w:t>
      </w:r>
      <w:r>
        <w:t xml:space="preserve"> </w:t>
      </w:r>
      <w:r>
        <w:t xml:space="preserve">Phase 1 work streams. Revision 1.0 will incorporate the following</w:t>
      </w:r>
      <w:r>
        <w:t xml:space="preserve"> </w:t>
      </w:r>
      <w:r>
        <w:t xml:space="preserve">advancements:</w:t>
      </w:r>
    </w:p>
    <w:p>
      <w:pPr>
        <w:numPr>
          <w:ilvl w:val="0"/>
          <w:numId w:val="1011"/>
        </w:numPr>
      </w:pPr>
      <w:r>
        <w:t xml:space="preserve">Feedback incorporation from stakeholder review of this pre-release</w:t>
      </w:r>
    </w:p>
    <w:p>
      <w:pPr>
        <w:numPr>
          <w:ilvl w:val="0"/>
          <w:numId w:val="1011"/>
        </w:numPr>
      </w:pPr>
      <w:r>
        <w:t xml:space="preserve">Resolution of open boundary assessment items (Section 8, Table 7)</w:t>
      </w:r>
    </w:p>
    <w:p>
      <w:pPr>
        <w:numPr>
          <w:ilvl w:val="0"/>
          <w:numId w:val="1011"/>
        </w:numPr>
      </w:pPr>
      <w:r>
        <w:t xml:space="preserve">Finalization of SLA targets based on operational baseline data</w:t>
      </w:r>
    </w:p>
    <w:p>
      <w:pPr>
        <w:numPr>
          <w:ilvl w:val="0"/>
          <w:numId w:val="1011"/>
        </w:numPr>
      </w:pPr>
      <w:r>
        <w:t xml:space="preserve">Establishment of the operational dashboard rendering pipeline (SCuBA</w:t>
      </w:r>
      <w:r>
        <w:t xml:space="preserve"> </w:t>
      </w:r>
      <w:r>
        <w:t xml:space="preserve">heatmaps, drift dashboards, compliance scorecards)</w:t>
      </w:r>
    </w:p>
    <w:p>
      <w:pPr>
        <w:numPr>
          <w:ilvl w:val="0"/>
          <w:numId w:val="1011"/>
        </w:numPr>
      </w:pPr>
      <w:r>
        <w:t xml:space="preserve">Integration of UTCM public preview findings as the feature matures</w:t>
      </w:r>
      <w:r>
        <w:t xml:space="preserve"> </w:t>
      </w:r>
      <w:r>
        <w:t xml:space="preserve">toward general availability</w:t>
      </w:r>
    </w:p>
    <w:p>
      <w:pPr>
        <w:numPr>
          <w:ilvl w:val="0"/>
          <w:numId w:val="1011"/>
        </w:numPr>
      </w:pPr>
      <w:r>
        <w:t xml:space="preserve">Detailed PowerShell script specifications for OrgPath device</w:t>
      </w:r>
      <w:r>
        <w:t xml:space="preserve"> </w:t>
      </w:r>
      <w:r>
        <w:t xml:space="preserve">correlation, ScubaGear orchestration, and drift remediation automation</w:t>
      </w:r>
    </w:p>
    <w:p>
      <w:pPr>
        <w:numPr>
          <w:ilvl w:val="0"/>
          <w:numId w:val="1011"/>
        </w:numPr>
      </w:pPr>
      <w:r>
        <w:t xml:space="preserve">Completed OrgPath architecture diagrams (replacing DIAG-001, DIAG-002,</w:t>
      </w:r>
      <w:r>
        <w:t xml:space="preserve"> </w:t>
      </w:r>
      <w:r>
        <w:t xml:space="preserve">DIAG-003 placeholders)</w:t>
      </w:r>
    </w:p>
    <w:bookmarkEnd w:id="77"/>
    <w:bookmarkStart w:id="78" w:name="table-10-revision-0.x-1.0-gap-tracker"/>
    <w:p>
      <w:pPr>
        <w:pStyle w:val="Heading2"/>
      </w:pPr>
      <w:r>
        <w:t xml:space="preserve">Table 10: Revision 0.x → 1.0 Gap Tracker</w:t>
      </w:r>
    </w:p>
    <w:tbl>
      <w:tblPr>
        <w:tblStyle w:val="Table"/>
        <w:tblW w:type="pct" w:w="4892"/>
        <w:tblLayout w:type="fixed"/>
        <w:tblLook w:firstRow="1" w:lastRow="0" w:firstColumn="0" w:lastColumn="0" w:noHBand="0" w:noVBand="0" w:val="0020"/>
      </w:tblPr>
      <w:tblGrid>
        <w:gridCol w:w="1788"/>
        <w:gridCol w:w="1873"/>
        <w:gridCol w:w="1532"/>
        <w:gridCol w:w="1277"/>
        <w:gridCol w:w="127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Open Items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Required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2 —</w:t>
            </w:r>
            <w:r>
              <w:t xml:space="preserve"> </w:t>
            </w:r>
            <w:r>
              <w:t xml:space="preserve">Modernization</w:t>
            </w:r>
            <w:r>
              <w:t xml:space="preserve"> </w:t>
            </w:r>
            <w:r>
              <w:t xml:space="preserve">Sequencing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Parallel execution</w:t>
            </w:r>
            <w:r>
              <w:t xml:space="preserve"> </w:t>
            </w:r>
            <w:r>
              <w:t xml:space="preserve">dependencies between</w:t>
            </w:r>
            <w:r>
              <w:t xml:space="preserve"> </w:t>
            </w:r>
            <w:r>
              <w:t xml:space="preserve">Steps 4–6 require</w:t>
            </w:r>
            <w:r>
              <w:t xml:space="preserve"> </w:t>
            </w:r>
            <w:r>
              <w:t xml:space="preserve">validation; gate</w:t>
            </w:r>
            <w:r>
              <w:t xml:space="preserve"> </w:t>
            </w:r>
            <w:r>
              <w:t xml:space="preserve">criteria need</w:t>
            </w:r>
            <w:r>
              <w:t xml:space="preserve"> </w:t>
            </w:r>
            <w:r>
              <w:t xml:space="preserve">quantitative</w:t>
            </w:r>
            <w:r>
              <w:t xml:space="preserve"> </w:t>
            </w:r>
            <w:r>
              <w:t xml:space="preserve">thresholds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Stakeholder</w:t>
            </w:r>
            <w:r>
              <w:t xml:space="preserve"> </w:t>
            </w:r>
            <w:r>
              <w:t xml:space="preserve">review;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baseline data</w:t>
            </w:r>
            <w:r>
              <w:t xml:space="preserve"> </w:t>
            </w:r>
            <w:r>
              <w:t xml:space="preserve">from initial</w:t>
            </w:r>
            <w:r>
              <w:t xml:space="preserve"> </w:t>
            </w:r>
            <w:r>
              <w:t xml:space="preserve">Phase 1 execution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3 —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Modernization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state</w:t>
            </w:r>
            <w:r>
              <w:t xml:space="preserve"> </w:t>
            </w:r>
            <w:r>
              <w:t xml:space="preserve">assessment columns in</w:t>
            </w:r>
            <w:r>
              <w:t xml:space="preserve"> </w:t>
            </w:r>
            <w:r>
              <w:t xml:space="preserve">Table 2 are</w:t>
            </w:r>
            <w:r>
              <w:t xml:space="preserve"> </w:t>
            </w:r>
            <w:r>
              <w:t xml:space="preserve">placeholder; need</w:t>
            </w:r>
            <w:r>
              <w:t xml:space="preserve"> </w:t>
            </w:r>
            <w:r>
              <w:t xml:space="preserve">populated data from</w:t>
            </w:r>
            <w:r>
              <w:t xml:space="preserve"> </w:t>
            </w:r>
            <w:r>
              <w:t xml:space="preserve">initial 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audit</w:t>
            </w:r>
            <w:r>
              <w:t xml:space="preserve"> </w:t>
            </w:r>
            <w:r>
              <w:t xml:space="preserve">execution;</w:t>
            </w:r>
            <w:r>
              <w:t xml:space="preserve"> </w:t>
            </w:r>
            <w:r>
              <w:t xml:space="preserve">orphaned account</w:t>
            </w:r>
            <w:r>
              <w:t xml:space="preserve"> </w:t>
            </w:r>
            <w:r>
              <w:t xml:space="preserve">scan; MFA</w:t>
            </w:r>
            <w:r>
              <w:t xml:space="preserve"> </w:t>
            </w:r>
            <w:r>
              <w:t xml:space="preserve">registration</w:t>
            </w:r>
            <w:r>
              <w:t xml:space="preserve"> </w:t>
            </w:r>
            <w:r>
              <w:t xml:space="preserve">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4 —</w:t>
            </w:r>
            <w:r>
              <w:t xml:space="preserve"> </w:t>
            </w:r>
            <w:r>
              <w:t xml:space="preserve">OrgPath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DIAG-001 placeholder</w:t>
            </w:r>
            <w:r>
              <w:t xml:space="preserve"> </w:t>
            </w:r>
            <w:r>
              <w:t xml:space="preserve">requires</w:t>
            </w:r>
            <w:r>
              <w:t xml:space="preserve"> </w:t>
            </w:r>
            <w:r>
              <w:t xml:space="preserve">architectural</w:t>
            </w:r>
            <w:r>
              <w:t xml:space="preserve"> </w:t>
            </w:r>
            <w:r>
              <w:t xml:space="preserve">diagram; device</w:t>
            </w:r>
            <w:r>
              <w:t xml:space="preserve"> </w:t>
            </w:r>
            <w:r>
              <w:t xml:space="preserve">correlation script</w:t>
            </w:r>
            <w:r>
              <w:t xml:space="preserve"> </w:t>
            </w:r>
            <w:r>
              <w:t xml:space="preserve">requires</w:t>
            </w:r>
            <w:r>
              <w:t xml:space="preserve"> </w:t>
            </w:r>
            <w:r>
              <w:t xml:space="preserve">specification</w:t>
            </w:r>
            <w:r>
              <w:t xml:space="preserve"> </w:t>
            </w: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design</w:t>
            </w:r>
            <w:r>
              <w:t xml:space="preserve"> </w:t>
            </w:r>
            <w:r>
              <w:t xml:space="preserve">finalization;</w:t>
            </w:r>
            <w:r>
              <w:t xml:space="preserve"> </w:t>
            </w:r>
            <w:r>
              <w:t xml:space="preserve">PowerShell script</w:t>
            </w:r>
            <w:r>
              <w:t xml:space="preserve"> </w:t>
            </w:r>
            <w:r>
              <w:t xml:space="preserve">authoring and</w:t>
            </w:r>
            <w:r>
              <w:t xml:space="preserve"> </w:t>
            </w:r>
            <w:r>
              <w:t xml:space="preserve">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5 — Device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Modernization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 estimates in</w:t>
            </w:r>
            <w:r>
              <w:t xml:space="preserve"> </w:t>
            </w:r>
            <w:r>
              <w:t xml:space="preserve">Table 4 are</w:t>
            </w:r>
            <w:r>
              <w:t xml:space="preserve"> </w:t>
            </w:r>
            <w:r>
              <w:t xml:space="preserve">preliminary;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compatibility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methodology needs</w:t>
            </w:r>
            <w:r>
              <w:t xml:space="preserve"> </w:t>
            </w: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inventory</w:t>
            </w:r>
            <w:r>
              <w:t xml:space="preserve"> </w:t>
            </w:r>
            <w:r>
              <w:t xml:space="preserve">with join-type</w:t>
            </w:r>
            <w:r>
              <w:t xml:space="preserve"> </w:t>
            </w:r>
            <w:r>
              <w:t xml:space="preserve">classification;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dependency</w:t>
            </w:r>
            <w:r>
              <w:t xml:space="preserve"> </w:t>
            </w:r>
            <w:r>
              <w:t xml:space="preserve">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6 —</w:t>
            </w:r>
            <w:r>
              <w:t xml:space="preserve"> </w:t>
            </w:r>
            <w:r>
              <w:t xml:space="preserve">GPO-to-Intune</w:t>
            </w:r>
            <w:r>
              <w:t xml:space="preserve"> </w:t>
            </w:r>
            <w:r>
              <w:t xml:space="preserve">Conversion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DIAG-002 placeholder</w:t>
            </w:r>
            <w:r>
              <w:t xml:space="preserve"> </w:t>
            </w:r>
            <w:r>
              <w:t xml:space="preserve">requires conversion</w:t>
            </w:r>
            <w:r>
              <w:t xml:space="preserve"> </w:t>
            </w:r>
            <w:r>
              <w:t xml:space="preserve">pipeline flowchart;</w:t>
            </w:r>
            <w:r>
              <w:t xml:space="preserve"> </w:t>
            </w:r>
            <w:r>
              <w:t xml:space="preserve">GPO inventory data</w:t>
            </w:r>
            <w:r>
              <w:t xml:space="preserve"> </w:t>
            </w:r>
            <w:r>
              <w:t xml:space="preserve">not yet available;</w:t>
            </w:r>
            <w:r>
              <w:t xml:space="preserve"> </w:t>
            </w:r>
            <w:r>
              <w:t xml:space="preserve">policy ownership</w:t>
            </w:r>
            <w:r>
              <w:t xml:space="preserve"> </w:t>
            </w:r>
            <w:r>
              <w:t xml:space="preserve">assignments pending</w:t>
            </w:r>
            <w:r>
              <w:t xml:space="preserve"> </w:t>
            </w:r>
            <w:r>
              <w:t xml:space="preserve">OrgPath establishment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 export and</w:t>
            </w:r>
            <w:r>
              <w:t xml:space="preserve"> </w:t>
            </w:r>
            <w:r>
              <w:t xml:space="preserve">Group Policy</w:t>
            </w:r>
            <w:r>
              <w:t xml:space="preserve"> </w:t>
            </w:r>
            <w:r>
              <w:t xml:space="preserve">Analytics import;</w:t>
            </w:r>
            <w:r>
              <w:t xml:space="preserve"> </w:t>
            </w:r>
            <w:r>
              <w:t xml:space="preserve">OrgPath</w:t>
            </w:r>
            <w:r>
              <w:t xml:space="preserve"> </w:t>
            </w:r>
            <w:r>
              <w:t xml:space="preserve">finalization;</w:t>
            </w:r>
            <w:r>
              <w:t xml:space="preserve"> </w:t>
            </w:r>
            <w:r>
              <w:t xml:space="preserve">owner nomination</w:t>
            </w:r>
            <w:r>
              <w:t xml:space="preserve"> </w:t>
            </w:r>
            <w:r>
              <w:t xml:space="preserve">from stakeholders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7 — Azure</w:t>
            </w:r>
            <w:r>
              <w:t xml:space="preserve"> </w:t>
            </w:r>
            <w:r>
              <w:t xml:space="preserve">Arc 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inventory and</w:t>
            </w:r>
            <w:r>
              <w:t xml:space="preserve"> </w:t>
            </w:r>
            <w:r>
              <w:t xml:space="preserve">scope definition for</w:t>
            </w:r>
            <w:r>
              <w:t xml:space="preserve"> </w:t>
            </w:r>
            <w:r>
              <w:t xml:space="preserve">Phase A; Azure</w:t>
            </w:r>
            <w:r>
              <w:t xml:space="preserve"> </w:t>
            </w:r>
            <w:r>
              <w:t xml:space="preserve">subscription and</w:t>
            </w:r>
            <w:r>
              <w:t xml:space="preserve"> </w:t>
            </w:r>
            <w:r>
              <w:t xml:space="preserve">Resource Group</w:t>
            </w:r>
            <w:r>
              <w:t xml:space="preserve"> </w:t>
            </w:r>
            <w:r>
              <w:t xml:space="preserve">provisioning; network</w:t>
            </w:r>
            <w:r>
              <w:t xml:space="preserve"> </w:t>
            </w:r>
            <w:r>
              <w:t xml:space="preserve">connectivity</w:t>
            </w:r>
            <w:r>
              <w:t xml:space="preserve"> </w:t>
            </w: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estate</w:t>
            </w:r>
            <w:r>
              <w:t xml:space="preserve"> </w:t>
            </w:r>
            <w:r>
              <w:t xml:space="preserve">inventory; Azure</w:t>
            </w:r>
            <w:r>
              <w:t xml:space="preserve"> </w:t>
            </w:r>
            <w:r>
              <w:t xml:space="preserve">subscription</w:t>
            </w:r>
            <w:r>
              <w:t xml:space="preserve"> </w:t>
            </w:r>
            <w:r>
              <w:t xml:space="preserve">access; firewall</w:t>
            </w:r>
            <w:r>
              <w:t xml:space="preserve"> </w:t>
            </w:r>
            <w:r>
              <w:t xml:space="preserve">rule assessment</w:t>
            </w:r>
            <w:r>
              <w:t xml:space="preserve"> </w:t>
            </w:r>
            <w:r>
              <w:t xml:space="preserve">for Arc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8 —</w:t>
            </w:r>
            <w:r>
              <w:t xml:space="preserve"> </w:t>
            </w:r>
            <w:r>
              <w:t xml:space="preserve">Boundary 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boundary</w:t>
            </w:r>
            <w:r>
              <w:t xml:space="preserve"> </w:t>
            </w:r>
            <w:r>
              <w:t xml:space="preserve">intersections in</w:t>
            </w:r>
            <w:r>
              <w:t xml:space="preserve"> </w:t>
            </w:r>
            <w:r>
              <w:t xml:space="preserve">Table 7 are under</w:t>
            </w:r>
            <w:r>
              <w:t xml:space="preserve"> </w:t>
            </w:r>
            <w:r>
              <w:t xml:space="preserve">assessment or</w:t>
            </w:r>
            <w:r>
              <w:t xml:space="preserve"> </w:t>
            </w:r>
            <w:r>
              <w:t xml:space="preserve">identified — none</w:t>
            </w:r>
            <w:r>
              <w:t xml:space="preserve"> </w:t>
            </w:r>
            <w:r>
              <w:t xml:space="preserve">resolved; responsible</w:t>
            </w:r>
            <w:r>
              <w:t xml:space="preserve"> </w:t>
            </w:r>
            <w:r>
              <w:t xml:space="preserve">owners are TBD</w:t>
            </w:r>
            <w:r>
              <w:t xml:space="preserve"> </w:t>
            </w:r>
            <w:r>
              <w:t xml:space="preserve">pending 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establishment</w:t>
            </w:r>
            <w:r>
              <w:t xml:space="preserve"> </w:t>
            </w:r>
            <w:r>
              <w:t xml:space="preserve">(for owner</w:t>
            </w:r>
            <w:r>
              <w:t xml:space="preserve"> </w:t>
            </w:r>
            <w:r>
              <w:t xml:space="preserve">assignment);</w:t>
            </w:r>
            <w:r>
              <w:t xml:space="preserve"> </w:t>
            </w:r>
            <w:r>
              <w:t xml:space="preserve">Microsoft</w:t>
            </w:r>
            <w:r>
              <w:t xml:space="preserve"> </w:t>
            </w:r>
            <w:r>
              <w:t xml:space="preserve">documentation</w:t>
            </w:r>
            <w:r>
              <w:t xml:space="preserve"> </w:t>
            </w:r>
            <w:r>
              <w:t xml:space="preserve">review;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review with</w:t>
            </w:r>
            <w:r>
              <w:t xml:space="preserve"> </w:t>
            </w:r>
            <w:r>
              <w:t xml:space="preserve">Microsoft account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  <w:r>
              <w:t xml:space="preserve"> </w:t>
            </w:r>
            <w:r>
              <w:t xml:space="preserve">(initial</w:t>
            </w:r>
            <w:r>
              <w:t xml:space="preserve"> </w:t>
            </w:r>
            <w:r>
              <w:t xml:space="preserve">resolution</w:t>
            </w:r>
            <w:r>
              <w:t xml:space="preserve"> </w:t>
            </w:r>
            <w:r>
              <w:t xml:space="preserve">targets; some</w:t>
            </w:r>
            <w:r>
              <w:t xml:space="preserve"> </w:t>
            </w:r>
            <w:r>
              <w:t xml:space="preserve">items may</w:t>
            </w:r>
            <w:r>
              <w:t xml:space="preserve"> </w:t>
            </w:r>
            <w:r>
              <w:t xml:space="preserve">extend beyond)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9 — SCuBA</w:t>
            </w:r>
            <w:r>
              <w:t xml:space="preserve"> </w:t>
            </w:r>
            <w:r>
              <w:t xml:space="preserve">Operationalization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deployment</w:t>
            </w:r>
            <w:r>
              <w:t xml:space="preserve"> </w:t>
            </w:r>
            <w:r>
              <w:t xml:space="preserve">not yet executed;</w:t>
            </w:r>
            <w:r>
              <w:t xml:space="preserve"> </w:t>
            </w:r>
            <w:r>
              <w:t xml:space="preserve">canonical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definitions not yet</w:t>
            </w:r>
            <w:r>
              <w:t xml:space="preserve"> </w:t>
            </w:r>
            <w:r>
              <w:t xml:space="preserve">authored; UIAO SCuBA</w:t>
            </w:r>
            <w:r>
              <w:t xml:space="preserve"> </w:t>
            </w:r>
            <w:r>
              <w:t xml:space="preserve">orchestration layer</w:t>
            </w:r>
            <w:r>
              <w:t xml:space="preserve"> </w:t>
            </w:r>
            <w:r>
              <w:t xml:space="preserve">in design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module</w:t>
            </w:r>
            <w:r>
              <w:t xml:space="preserve"> </w:t>
            </w:r>
            <w:r>
              <w:t xml:space="preserve">installation;</w:t>
            </w:r>
            <w:r>
              <w:t xml:space="preserve"> </w:t>
            </w:r>
            <w:r>
              <w:t xml:space="preserve">initial</w:t>
            </w:r>
            <w:r>
              <w:t xml:space="preserve"> </w:t>
            </w:r>
            <w:r>
              <w:t xml:space="preserve">assessment</w:t>
            </w:r>
            <w:r>
              <w:t xml:space="preserve"> </w:t>
            </w:r>
            <w:r>
              <w:t xml:space="preserve">execution;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definition</w:t>
            </w:r>
            <w:r>
              <w:t xml:space="preserve"> </w:t>
            </w:r>
            <w:r>
              <w:t xml:space="preserve">authoring;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finalization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10 — Drift</w:t>
            </w:r>
            <w:r>
              <w:t xml:space="preserve"> </w:t>
            </w:r>
            <w:r>
              <w:t xml:space="preserve">Detection and</w:t>
            </w:r>
            <w:r>
              <w:t xml:space="preserve"> </w:t>
            </w:r>
            <w: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DIAG-003 placeholder</w:t>
            </w:r>
            <w:r>
              <w:t xml:space="preserve"> </w:t>
            </w:r>
            <w:r>
              <w:t xml:space="preserve">requires workflow</w:t>
            </w:r>
            <w:r>
              <w:t xml:space="preserve"> </w:t>
            </w:r>
            <w:r>
              <w:t xml:space="preserve">diagram; SLA timers</w:t>
            </w:r>
            <w:r>
              <w:t xml:space="preserve"> </w:t>
            </w:r>
            <w:r>
              <w:t xml:space="preserve">are proposed — need</w:t>
            </w:r>
            <w:r>
              <w:t xml:space="preserve"> </w:t>
            </w:r>
            <w:r>
              <w:t xml:space="preserve">validation against</w:t>
            </w:r>
            <w:r>
              <w:t xml:space="preserve"> </w:t>
            </w:r>
            <w:r>
              <w:t xml:space="preserve">operational reality;</w:t>
            </w:r>
            <w:r>
              <w:t xml:space="preserve"> </w:t>
            </w:r>
            <w:r>
              <w:t xml:space="preserve">UTCM integration</w:t>
            </w:r>
            <w:r>
              <w:t xml:space="preserve"> </w:t>
            </w:r>
            <w:r>
              <w:t xml:space="preserve">dependent on preview</w:t>
            </w:r>
            <w:r>
              <w:t xml:space="preserve"> </w:t>
            </w:r>
            <w:r>
              <w:t xml:space="preserve">maturation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  <w:r>
              <w:t xml:space="preserve"> </w:t>
            </w:r>
            <w:r>
              <w:t xml:space="preserve">baseline data</w:t>
            </w:r>
            <w:r>
              <w:t xml:space="preserve"> </w:t>
            </w:r>
            <w:r>
              <w:t xml:space="preserve">from initial</w:t>
            </w:r>
            <w:r>
              <w:t xml:space="preserve"> </w:t>
            </w:r>
            <w:r>
              <w:t xml:space="preserve">drift detection</w:t>
            </w:r>
            <w:r>
              <w:t xml:space="preserve"> </w:t>
            </w:r>
            <w:r>
              <w:t xml:space="preserve">cycles; UTCM</w:t>
            </w:r>
            <w:r>
              <w:t xml:space="preserve"> </w:t>
            </w:r>
            <w:r>
              <w:t xml:space="preserve">preview</w:t>
            </w:r>
            <w:r>
              <w:t xml:space="preserve"> </w:t>
            </w:r>
            <w:r>
              <w:t xml:space="preserve">evaluation;</w:t>
            </w:r>
            <w:r>
              <w:t xml:space="preserve"> </w:t>
            </w:r>
            <w:r>
              <w:t xml:space="preserve">stakeholder</w:t>
            </w:r>
            <w:r>
              <w:t xml:space="preserve"> </w:t>
            </w:r>
            <w:r>
              <w:t xml:space="preserve">agreement on SLA</w:t>
            </w:r>
            <w:r>
              <w:t xml:space="preserve"> </w:t>
            </w:r>
            <w:r>
              <w:t xml:space="preserve">targets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 11 —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 rendering</w:t>
            </w:r>
            <w:r>
              <w:t xml:space="preserve"> </w:t>
            </w:r>
            <w:r>
              <w:t xml:space="preserve">pipeline not yet</w:t>
            </w:r>
            <w:r>
              <w:t xml:space="preserve"> </w:t>
            </w:r>
            <w:r>
              <w:t xml:space="preserve">defined; governance</w:t>
            </w:r>
            <w:r>
              <w:t xml:space="preserve"> </w:t>
            </w:r>
            <w:r>
              <w:t xml:space="preserve">register templates</w:t>
            </w:r>
            <w:r>
              <w:t xml:space="preserve"> </w:t>
            </w:r>
            <w:r>
              <w:t xml:space="preserve">need finalization;</w:t>
            </w:r>
            <w:r>
              <w:t xml:space="preserve"> </w:t>
            </w:r>
            <w:r>
              <w:t xml:space="preserve">Canon Stewardship</w:t>
            </w:r>
            <w:r>
              <w:t xml:space="preserve"> </w:t>
            </w:r>
            <w:r>
              <w:t xml:space="preserve">delegation model for</w:t>
            </w:r>
            <w:r>
              <w:t xml:space="preserve"> </w:t>
            </w:r>
            <w: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</w:t>
            </w:r>
            <w:r>
              <w:t xml:space="preserve"> </w:t>
            </w:r>
            <w:r>
              <w:t xml:space="preserve">architecture</w:t>
            </w:r>
            <w:r>
              <w:t xml:space="preserve"> </w:t>
            </w:r>
            <w:r>
              <w:t xml:space="preserve">design; register</w:t>
            </w:r>
            <w:r>
              <w:t xml:space="preserve"> </w:t>
            </w:r>
            <w:r>
              <w:t xml:space="preserve">template</w:t>
            </w:r>
            <w:r>
              <w:t xml:space="preserve"> </w:t>
            </w:r>
            <w:r>
              <w:t xml:space="preserve">authoring;</w:t>
            </w:r>
            <w:r>
              <w:t xml:space="preserve"> </w:t>
            </w:r>
            <w:r>
              <w:t xml:space="preserve">delegation policy</w:t>
            </w:r>
            <w:r>
              <w:t xml:space="preserve"> </w:t>
            </w:r>
            <w:r>
              <w:t xml:space="preserve">drafting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Revision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</w:t>
            </w:r>
          </w:p>
        </w:tc>
      </w:tr>
    </w:tbl>
    <w:bookmarkEnd w:id="78"/>
    <w:bookmarkEnd w:id="79"/>
    <w:bookmarkStart w:id="94" w:name="revision-history"/>
    <w:p>
      <w:pPr>
        <w:pStyle w:val="Heading1"/>
      </w:pPr>
      <w:r>
        <w:t xml:space="preserve">Revision History</w:t>
      </w:r>
    </w:p>
    <w:tbl>
      <w:tblPr>
        <w:tblStyle w:val="Table"/>
        <w:tblW w:type="pct" w:w="4880"/>
        <w:tblLayout w:type="fixed"/>
        <w:tblLook w:firstRow="1" w:lastRow="0" w:firstColumn="0" w:lastColumn="0" w:noHBand="0" w:noVBand="0" w:val="0020"/>
      </w:tblPr>
      <w:tblGrid>
        <w:gridCol w:w="1335"/>
        <w:gridCol w:w="1049"/>
        <w:gridCol w:w="4007"/>
        <w:gridCol w:w="133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 24,</w:t>
            </w:r>
            <w:r>
              <w:t xml:space="preserve"> </w:t>
            </w:r>
            <w:r>
              <w:t xml:space="preserve">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pre-release — establishes the</w:t>
            </w:r>
            <w:r>
              <w:t xml:space="preserve"> </w:t>
            </w:r>
            <w:r>
              <w:t xml:space="preserve">modernization mechanics baseline for UIAO</w:t>
            </w:r>
            <w:r>
              <w:t xml:space="preserve"> </w:t>
            </w:r>
            <w:r>
              <w:t xml:space="preserve">Phase 1. All sections are first drafts.</w:t>
            </w:r>
            <w:r>
              <w:t xml:space="preserve"> </w:t>
            </w:r>
            <w:r>
              <w:t xml:space="preserve">No prior version superseded.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</w:t>
            </w:r>
            <w:r>
              <w:t xml:space="preserve"> </w:t>
            </w:r>
            <w:r>
              <w:t xml:space="preserve">Stratton,</w:t>
            </w:r>
            <w:r>
              <w:t xml:space="preserve"> </w:t>
            </w:r>
            <w:r>
              <w:t xml:space="preserve">Canon Steward</w:t>
            </w:r>
          </w:p>
        </w:tc>
      </w:tr>
    </w:tbl>
    <w:p>
      <w:pPr>
        <w:pStyle w:val="BodyText"/>
      </w:pPr>
      <w:r>
        <w:t xml:space="preserve">— End of Document —</w:t>
      </w:r>
    </w:p>
    <w:p>
      <w:pPr>
        <w:pStyle w:val="BodyText"/>
      </w:pPr>
      <w:r>
        <w:t xml:space="preserve">UIAO_PHASE1_MOD_MECH | Version 0.x | Classification: Controlled |</w:t>
      </w:r>
      <w:r>
        <w:t xml:space="preserve"> </w:t>
      </w:r>
      <w:r>
        <w:t xml:space="preserve">GCC-Moderate</w:t>
      </w:r>
    </w:p>
    <w:p>
      <w:r>
        <w:pict>
          <v:rect style="width:0;height:1.5pt" o:hralign="center" o:hrstd="t" o:hr="t"/>
        </w:pict>
      </w:r>
    </w:p>
    <w:bookmarkStart w:id="83" w:name="Xae2d3882937578906398c090c0e687b889f5446"/>
    <w:p>
      <w:pPr>
        <w:pStyle w:val="Heading2"/>
      </w:pPr>
      <w:r>
        <w:t xml:space="preserve">Appendix A — AD-to-Entra Identity Translation (Restored Detail)</w:t>
      </w:r>
    </w:p>
    <w:p>
      <w:pPr>
        <w:pStyle w:val="BlockText"/>
      </w:pPr>
      <w:r>
        <w:rPr>
          <w:b/>
          <w:bCs/>
        </w:rPr>
        <w:t xml:space="preserve">Why this appendix exists.</w:t>
      </w:r>
      <w:r>
        <w:t xml:space="preserve"> </w:t>
      </w:r>
      <w:r>
        <w:t xml:space="preserve">Phase 1 Rev 0.x compressed the full</w:t>
      </w:r>
      <w:r>
        <w:t xml:space="preserve"> </w:t>
      </w:r>
      <w:r>
        <w:t xml:space="preserve">AD-to-Entra crosswalk into a short Identity Modernization section. The</w:t>
      </w:r>
      <w:r>
        <w:t xml:space="preserve"> </w:t>
      </w:r>
      <w:r>
        <w:t xml:space="preserve">source v1.0 detail is restored below for ISSO/AO reference. Note: as</w:t>
      </w:r>
      <w:r>
        <w:t xml:space="preserve"> </w:t>
      </w:r>
      <w:r>
        <w:t xml:space="preserve">stated in the Editorial Note above, AD→Entra sync is treated as an</w:t>
      </w:r>
      <w:r>
        <w:t xml:space="preserve"> </w:t>
      </w:r>
      <w:r>
        <w:rPr>
          <w:b/>
          <w:bCs/>
        </w:rPr>
        <w:t xml:space="preserve">existing operational baseline</w:t>
      </w:r>
      <w:r>
        <w:t xml:space="preserve">; the content below describes the</w:t>
      </w:r>
      <w:r>
        <w:t xml:space="preserve"> </w:t>
      </w:r>
      <w:r>
        <w:rPr>
          <w:i/>
          <w:iCs/>
        </w:rPr>
        <w:t xml:space="preserve">governance and modernization</w:t>
      </w:r>
      <w:r>
        <w:t xml:space="preserve"> </w:t>
      </w:r>
      <w:r>
        <w:t xml:space="preserve">layered on top of that baseline (Cloud</w:t>
      </w:r>
      <w:r>
        <w:t xml:space="preserve"> </w:t>
      </w:r>
      <w:r>
        <w:t xml:space="preserve">Sync migration, attribute mapping, lifecycle governance).</w:t>
      </w:r>
    </w:p>
    <w:p>
      <w:pPr>
        <w:pStyle w:val="FirstParagraph"/>
      </w:pPr>
      <w:r>
        <w:t xml:space="preserve">Section 3 — AD-to-Entra Identity Translation</w:t>
      </w:r>
    </w:p>
    <w:p>
      <w:pPr>
        <w:pStyle w:val="BodyText"/>
      </w:pPr>
      <w:r>
        <w:t xml:space="preserve">Identity translation is the process of mapping every object in the</w:t>
      </w:r>
      <w:r>
        <w:t xml:space="preserve"> </w:t>
      </w:r>
      <w:r>
        <w:t xml:space="preserve">legacy Active Directory environment to its cloud-native counterpart in</w:t>
      </w:r>
      <w:r>
        <w:t xml:space="preserve"> </w:t>
      </w:r>
      <w:r>
        <w:t xml:space="preserve">Microsoft Entra ID. This section covers the synchronization architecture</w:t>
      </w:r>
      <w:r>
        <w:t xml:space="preserve"> </w:t>
      </w:r>
      <w:r>
        <w:t xml:space="preserve">that moves objects between the two directories, the object-level</w:t>
      </w:r>
      <w:r>
        <w:t xml:space="preserve"> </w:t>
      </w:r>
      <w:r>
        <w:t xml:space="preserve">translation matrix that defines what each AD object becomes in Entra ID,</w:t>
      </w:r>
      <w:r>
        <w:t xml:space="preserve"> </w:t>
      </w:r>
      <w:r>
        <w:t xml:space="preserve">the attribute mapping that preserves data fidelity, and the identity</w:t>
      </w:r>
      <w:r>
        <w:t xml:space="preserve"> </w:t>
      </w:r>
      <w:r>
        <w:t xml:space="preserve">lifecycle governance model that replaces AD OU-based delegation with</w:t>
      </w:r>
      <w:r>
        <w:t xml:space="preserve"> </w:t>
      </w:r>
      <w:r>
        <w:t xml:space="preserve">cloud-native Entra ID Governance constructs.</w:t>
      </w:r>
    </w:p>
    <w:p>
      <w:pPr>
        <w:pStyle w:val="BodyText"/>
      </w:pPr>
      <w:r>
        <w:t xml:space="preserve">3.1 Synchronization Architecture</w:t>
      </w:r>
    </w:p>
    <w:p>
      <w:pPr>
        <w:pStyle w:val="BodyText"/>
      </w:pPr>
      <w:r>
        <w:t xml:space="preserve">The UIAO currently operates Microsoft Entra Connect Sync (formerly Azure</w:t>
      </w:r>
      <w:r>
        <w:t xml:space="preserve"> </w:t>
      </w:r>
      <w:r>
        <w:t xml:space="preserve">AD Connect) to synchronize identity objects from on-premises Active</w:t>
      </w:r>
      <w:r>
        <w:t xml:space="preserve"> </w:t>
      </w:r>
      <w:r>
        <w:t xml:space="preserve">Directory to Microsoft Entra ID. Entra Connect Sync is a server-based</w:t>
      </w:r>
      <w:r>
        <w:t xml:space="preserve"> </w:t>
      </w:r>
      <w:r>
        <w:t xml:space="preserve">application that runs on a dedicated Windows Server, maintains a local</w:t>
      </w:r>
      <w:r>
        <w:t xml:space="preserve"> </w:t>
      </w:r>
      <w:r>
        <w:t xml:space="preserve">SQL database of object state, and performs periodic synchronization</w:t>
      </w:r>
      <w:r>
        <w:t xml:space="preserve"> </w:t>
      </w:r>
      <w:r>
        <w:t xml:space="preserve">cycles (default: 30 minutes). While Entra Connect Sync has served</w:t>
      </w:r>
      <w:r>
        <w:t xml:space="preserve"> </w:t>
      </w:r>
      <w:r>
        <w:t xml:space="preserve">reliably as the synchronization backbone, it introduces architectural</w:t>
      </w:r>
      <w:r>
        <w:t xml:space="preserve"> </w:t>
      </w:r>
      <w:r>
        <w:t xml:space="preserve">risks that the modernization program must address.</w:t>
      </w:r>
    </w:p>
    <w:p>
      <w:pPr>
        <w:pStyle w:val="BodyText"/>
      </w:pPr>
      <w:r>
        <w:t xml:space="preserve">Entra Connect Sync operates as a single-server deployment with an</w:t>
      </w:r>
      <w:r>
        <w:t xml:space="preserve"> </w:t>
      </w:r>
      <w:r>
        <w:t xml:space="preserve">optional staging server for failover. The active server holds the only</w:t>
      </w:r>
      <w:r>
        <w:t xml:space="preserve"> </w:t>
      </w:r>
      <w:r>
        <w:t xml:space="preserve">writable copy of the synchronization configuration. If the active server</w:t>
      </w:r>
      <w:r>
        <w:t xml:space="preserve"> </w:t>
      </w:r>
      <w:r>
        <w:t xml:space="preserve">fails, manual intervention is required to promote the staging server —</w:t>
      </w:r>
      <w:r>
        <w:t xml:space="preserve"> </w:t>
      </w:r>
      <w:r>
        <w:t xml:space="preserve">there is no automatic failover. Configuration is stored locally on the</w:t>
      </w:r>
      <w:r>
        <w:t xml:space="preserve"> </w:t>
      </w:r>
      <w:r>
        <w:t xml:space="preserve">server, not in the cloud, making it opaque to cloud-based governance and</w:t>
      </w:r>
      <w:r>
        <w:t xml:space="preserve"> </w:t>
      </w:r>
      <w:r>
        <w:t xml:space="preserve">audit. The version currently deployed must be upgraded to version</w:t>
      </w:r>
      <w:r>
        <w:t xml:space="preserve"> </w:t>
      </w:r>
      <w:r>
        <w:t xml:space="preserve">2.5.79.0 or later before September 30, 2026, as Microsoft has mandated</w:t>
      </w:r>
      <w:r>
        <w:t xml:space="preserve"> </w:t>
      </w:r>
      <w:r>
        <w:t xml:space="preserve">minimum version requirements that retire older builds.</w:t>
      </w:r>
    </w:p>
    <w:p>
      <w:pPr>
        <w:pStyle w:val="BodyText"/>
      </w:pPr>
      <w:r>
        <w:t xml:space="preserve">The strategic direction is Microsoft Entra Cloud Sync. Cloud Sync</w:t>
      </w:r>
      <w:r>
        <w:t xml:space="preserve"> </w:t>
      </w:r>
      <w:r>
        <w:t xml:space="preserve">represents a fundamental architectural shift: synchronization</w:t>
      </w:r>
      <w:r>
        <w:t xml:space="preserve"> </w:t>
      </w:r>
      <w:r>
        <w:t xml:space="preserve">configuration is stored in Entra ID itself, not on a local server.</w:t>
      </w:r>
      <w:r>
        <w:t xml:space="preserve"> </w:t>
      </w:r>
      <w:r>
        <w:t xml:space="preserve">Multiple lightweight provisioning agents can be deployed across the</w:t>
      </w:r>
      <w:r>
        <w:t xml:space="preserve"> </w:t>
      </w:r>
      <w:r>
        <w:t xml:space="preserve">on-premises environment, providing automatic failover without manual</w:t>
      </w:r>
      <w:r>
        <w:t xml:space="preserve"> </w:t>
      </w:r>
      <w:r>
        <w:t xml:space="preserve">intervention. The agents are auto-updating, reducing maintenance</w:t>
      </w:r>
      <w:r>
        <w:t xml:space="preserve"> </w:t>
      </w:r>
      <w:r>
        <w:t xml:space="preserve">overhead. Cloud Sync supports attribute-level scoping, expression-based</w:t>
      </w:r>
      <w:r>
        <w:t xml:space="preserve"> </w:t>
      </w:r>
      <w:r>
        <w:t xml:space="preserve">transformations, and on-demand provisioning for testing.</w:t>
      </w:r>
    </w:p>
    <w:p>
      <w:pPr>
        <w:pStyle w:val="BodyText"/>
      </w:pPr>
      <w:r>
        <w:t xml:space="preserve">The migration path from Connect Sync to Cloud Sync is not a</w:t>
      </w:r>
      <w:r>
        <w:t xml:space="preserve"> </w:t>
      </w:r>
      <w:r>
        <w:t xml:space="preserve">lift-and-shift. The two systems handle certain scenarios differently —</w:t>
      </w:r>
      <w:r>
        <w:t xml:space="preserve"> </w:t>
      </w:r>
      <w:r>
        <w:t xml:space="preserve">Cloud Sync does not yet support device writeback, Exchange hybrid</w:t>
      </w:r>
      <w:r>
        <w:t xml:space="preserve"> </w:t>
      </w:r>
      <w:r>
        <w:t xml:space="preserve">writeback in all configurations, or synchronization of objects larger</w:t>
      </w:r>
      <w:r>
        <w:t xml:space="preserve"> </w:t>
      </w:r>
      <w:r>
        <w:t xml:space="preserve">than 150,000 per domain in certain topologies. The migration requires a</w:t>
      </w:r>
      <w:r>
        <w:t xml:space="preserve"> </w:t>
      </w:r>
      <w:r>
        <w:t xml:space="preserve">careful parallel-deployment phase where Cloud Sync handles the majority</w:t>
      </w:r>
      <w:r>
        <w:t xml:space="preserve"> </w:t>
      </w:r>
      <w:r>
        <w:t xml:space="preserve">of synchronization while Connect Sync retains responsibility for any</w:t>
      </w:r>
      <w:r>
        <w:t xml:space="preserve"> </w:t>
      </w:r>
      <w:r>
        <w:t xml:space="preserve">unsupported scenarios, followed by a full cutover once feature parity is</w:t>
      </w:r>
      <w:r>
        <w:t xml:space="preserve"> </w:t>
      </w:r>
      <w:r>
        <w:t xml:space="preserve">confirmed for the UIAO's specific environment.</w:t>
      </w:r>
    </w:p>
    <w:p>
      <w:pPr>
        <w:pStyle w:val="BodyText"/>
      </w:pPr>
      <w:r>
        <w:t xml:space="preserve">3.2 Object Translation Matrix</w:t>
      </w:r>
    </w:p>
    <w:p>
      <w:pPr>
        <w:pStyle w:val="BodyText"/>
      </w:pPr>
      <w:r>
        <w:t xml:space="preserve">Table 3 defines the object-level translation from AD to Entra ID. Each</w:t>
      </w:r>
      <w:r>
        <w:t xml:space="preserve"> </w:t>
      </w:r>
      <w:r>
        <w:t xml:space="preserve">row identifies an AD object type, its key attributes, the corresponding</w:t>
      </w:r>
      <w:r>
        <w:t xml:space="preserve"> </w:t>
      </w:r>
      <w:r>
        <w:t xml:space="preserve">Entra ID object type, and the synchronization method used to create and</w:t>
      </w:r>
      <w:r>
        <w:t xml:space="preserve"> </w:t>
      </w:r>
      <w:r>
        <w:t xml:space="preserve">maintain the mapping.</w:t>
      </w:r>
    </w:p>
    <w:p>
      <w:pPr>
        <w:pStyle w:val="BodyText"/>
      </w:pPr>
      <w:r>
        <w:rPr>
          <w:b/>
          <w:bCs/>
        </w:rPr>
        <w:t xml:space="preserve">Table 3: AD Object-to-Entra Object Translation Matrix</w:t>
      </w:r>
    </w:p>
    <w:tbl>
      <w:tblPr>
        <w:tblStyle w:val="Table"/>
        <w:tblW w:type="pct" w:w="4940"/>
        <w:tblLayout w:type="fixed"/>
        <w:tblLook w:firstRow="1" w:lastRow="0" w:firstColumn="0" w:lastColumn="0" w:noHBand="0" w:noVBand="0" w:val="0020"/>
      </w:tblPr>
      <w:tblGrid>
        <w:gridCol w:w="801"/>
        <w:gridCol w:w="1131"/>
        <w:gridCol w:w="801"/>
        <w:gridCol w:w="1320"/>
        <w:gridCol w:w="1272"/>
        <w:gridCol w:w="1320"/>
        <w:gridCol w:w="117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 Object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 Key Attributes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ID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Object 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Attributes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(Mapped)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Sync 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OrgPath Mapping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 Account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 UPN,</w:t>
            </w:r>
            <w:r>
              <w:t xml:space="preserve"> </w:t>
            </w:r>
            <w:r>
              <w:t xml:space="preserve">distinguishedName,</w:t>
            </w:r>
            <w:r>
              <w:t xml:space="preserve"> </w:t>
            </w:r>
            <w:r>
              <w:t xml:space="preserve">memberOf, department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userPrincipalName,</w:t>
            </w:r>
            <w:r>
              <w:t xml:space="preserve"> </w:t>
            </w:r>
            <w:r>
              <w:t xml:space="preserve">displayName, department,</w:t>
            </w:r>
            <w:r>
              <w:t xml:space="preserve"> </w:t>
            </w:r>
            <w:r>
              <w:t xml:space="preserve">extensionAttribute1</w:t>
            </w:r>
            <w:r>
              <w:t xml:space="preserve"> </w:t>
            </w:r>
            <w:r>
              <w:t xml:space="preserve">(OrgPath)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 (strategic);</w:t>
            </w:r>
            <w:r>
              <w:t xml:space="preserve"> </w:t>
            </w:r>
            <w:r>
              <w:t xml:space="preserve">Connect Sync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Derived from OU path;</w:t>
            </w:r>
            <w:r>
              <w:t xml:space="preserve"> </w:t>
            </w:r>
            <w:r>
              <w:t xml:space="preserve">written to</w:t>
            </w:r>
            <w:r>
              <w:t xml:space="preserve"> </w:t>
            </w:r>
            <w:r>
              <w:t xml:space="preserve">extensionAttribute1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UPN must match routable</w:t>
            </w:r>
            <w:r>
              <w:t xml:space="preserve"> </w:t>
            </w:r>
            <w:r>
              <w:t xml:space="preserve">domain. Immutable ID</w:t>
            </w:r>
            <w:r>
              <w:t xml:space="preserve"> </w:t>
            </w:r>
            <w:r>
              <w:t xml:space="preserve">anchored to</w:t>
            </w:r>
            <w:r>
              <w:t xml:space="preserve"> </w:t>
            </w:r>
            <w:r>
              <w:t xml:space="preserve">ms-DS-ConsistencyGuid.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 member,</w:t>
            </w:r>
            <w:r>
              <w:t xml:space="preserve"> </w:t>
            </w:r>
            <w:r>
              <w:t xml:space="preserve">groupType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Group</w:t>
            </w:r>
            <w:r>
              <w:t xml:space="preserve"> </w:t>
            </w:r>
            <w:r>
              <w:t xml:space="preserve">(synced) or</w:t>
            </w:r>
            <w:r>
              <w:t xml:space="preserve"> </w:t>
            </w:r>
            <w:r>
              <w:t xml:space="preserve">Dynamic Group</w:t>
            </w:r>
            <w:r>
              <w:t xml:space="preserve"> </w:t>
            </w: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displayName, members,</w:t>
            </w:r>
            <w:r>
              <w:t xml:space="preserve"> </w:t>
            </w:r>
            <w:r>
              <w:t xml:space="preserve">groupTypes, membershipRule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 (synced</w:t>
            </w:r>
            <w:r>
              <w:t xml:space="preserve"> </w:t>
            </w:r>
            <w:r>
              <w:t xml:space="preserve">groups); Manual (dynamic</w:t>
            </w:r>
            <w:r>
              <w:t xml:space="preserve"> </w:t>
            </w:r>
            <w:r>
              <w:t xml:space="preserve">groups)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naming convention</w:t>
            </w:r>
            <w:r>
              <w:t xml:space="preserve"> </w:t>
            </w:r>
            <w:r>
              <w:t xml:space="preserve">includes OrgPath prefix</w:t>
            </w:r>
            <w:r>
              <w:t xml:space="preserve"> </w:t>
            </w:r>
            <w:r>
              <w:t xml:space="preserve">(e.g.,</w:t>
            </w:r>
            <w:r>
              <w:t xml:space="preserve"> </w:t>
            </w:r>
            <w:r>
              <w:t xml:space="preserve">SG-EAST-IT-Security-Read)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Synced groups retain</w:t>
            </w:r>
            <w:r>
              <w:t xml:space="preserve"> </w:t>
            </w:r>
            <w:r>
              <w:t xml:space="preserve">static membership. New</w:t>
            </w:r>
            <w:r>
              <w:t xml:space="preserve"> </w:t>
            </w:r>
            <w:r>
              <w:t xml:space="preserve">groups should be dynamic</w:t>
            </w:r>
            <w:r>
              <w:t xml:space="preserve"> </w:t>
            </w:r>
            <w:r>
              <w:t xml:space="preserve">where possible.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Distribution</w:t>
            </w:r>
            <w:r>
              <w:t xml:space="preserve"> </w:t>
            </w:r>
            <w:r>
              <w:t xml:space="preserve">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 member,</w:t>
            </w:r>
            <w:r>
              <w:t xml:space="preserve"> </w:t>
            </w:r>
            <w:r>
              <w:t xml:space="preserve">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Mail-enabled</w:t>
            </w:r>
            <w:r>
              <w:t xml:space="preserve"> </w:t>
            </w:r>
            <w:r>
              <w:t xml:space="preserve">Security Group</w:t>
            </w:r>
            <w:r>
              <w:t xml:space="preserve"> </w:t>
            </w:r>
            <w:r>
              <w:t xml:space="preserve">or Microsoft 365</w:t>
            </w:r>
            <w:r>
              <w:t xml:space="preserve"> </w:t>
            </w:r>
            <w:r>
              <w:t xml:space="preserve">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displayName, members, mail,</w:t>
            </w:r>
            <w:r>
              <w:t xml:space="preserve"> </w:t>
            </w:r>
            <w:r>
              <w:t xml:space="preserve">proxyAddresses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 / Exchange</w:t>
            </w:r>
            <w:r>
              <w:t xml:space="preserve"> </w:t>
            </w:r>
            <w:r>
              <w:t xml:space="preserve">Hybrid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 prefix in</w:t>
            </w:r>
            <w:r>
              <w:t xml:space="preserve"> </w:t>
            </w:r>
            <w:r>
              <w:t xml:space="preserve">displayName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migration to</w:t>
            </w:r>
            <w:r>
              <w:t xml:space="preserve"> </w:t>
            </w:r>
            <w:r>
              <w:t xml:space="preserve">M365 Groups for</w:t>
            </w:r>
            <w:r>
              <w:t xml:space="preserve"> </w:t>
            </w:r>
            <w:r>
              <w:t xml:space="preserve">Teams/SharePoint</w:t>
            </w:r>
            <w:r>
              <w:t xml:space="preserve"> </w:t>
            </w:r>
            <w:r>
              <w:t xml:space="preserve">integration.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Computer Object</w:t>
            </w:r>
            <w:r>
              <w:t xml:space="preserve"> </w:t>
            </w:r>
            <w:r>
              <w:t xml:space="preserve">(Workstation)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</w:t>
            </w:r>
            <w:r>
              <w:t xml:space="preserve"> </w:t>
            </w:r>
            <w:r>
              <w:t xml:space="preserve">dNSHostName,</w:t>
            </w:r>
            <w:r>
              <w:t xml:space="preserve"> </w:t>
            </w:r>
            <w:r>
              <w:t xml:space="preserve">operatingSystem,</w:t>
            </w:r>
            <w:r>
              <w:t xml:space="preserve"> </w:t>
            </w:r>
            <w:r>
              <w:t xml:space="preserve">distinguishedName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(Entra</w:t>
            </w:r>
            <w:r>
              <w:t xml:space="preserve"> </w:t>
            </w:r>
            <w:r>
              <w:t xml:space="preserve">Joined or Hybrid</w:t>
            </w:r>
            <w:r>
              <w:t xml:space="preserve"> </w:t>
            </w:r>
            <w:r>
              <w:t xml:space="preserve">Entra Joined)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displayName, deviceId,</w:t>
            </w:r>
            <w:r>
              <w:t xml:space="preserve"> </w:t>
            </w:r>
            <w:r>
              <w:t xml:space="preserve">operatingSystem,</w:t>
            </w:r>
            <w:r>
              <w:t xml:space="preserve"> </w:t>
            </w:r>
            <w:r>
              <w:t xml:space="preserve">deviceCategory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Join</w:t>
            </w:r>
            <w:r>
              <w:t xml:space="preserve"> </w:t>
            </w:r>
            <w:r>
              <w:t xml:space="preserve">auto-registration;</w:t>
            </w:r>
            <w:r>
              <w:t xml:space="preserve"> </w:t>
            </w:r>
            <w:r>
              <w:t xml:space="preserve">Autopilot for Entra Join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category maps to</w:t>
            </w:r>
            <w:r>
              <w:t xml:space="preserve"> </w:t>
            </w:r>
            <w:r>
              <w:t xml:space="preserve">OrgPath device taxonomy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state: Entra</w:t>
            </w:r>
            <w:r>
              <w:t xml:space="preserve"> </w:t>
            </w:r>
            <w:r>
              <w:t xml:space="preserve">Joined (cloud-native).</w:t>
            </w:r>
            <w:r>
              <w:t xml:space="preserve"> </w:t>
            </w:r>
            <w:r>
              <w:t xml:space="preserve">See Section 5.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Computer Object</w:t>
            </w:r>
            <w:r>
              <w:t xml:space="preserve"> </w:t>
            </w:r>
            <w:r>
              <w:t xml:space="preserve">(Server)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</w:t>
            </w:r>
            <w:r>
              <w:t xml:space="preserve"> </w:t>
            </w:r>
            <w:r>
              <w:t xml:space="preserve">dNSHostName,</w:t>
            </w:r>
            <w:r>
              <w:t xml:space="preserve"> </w:t>
            </w:r>
            <w:r>
              <w:t xml:space="preserve">operatingSystem,</w:t>
            </w:r>
            <w:r>
              <w:t xml:space="preserve"> </w:t>
            </w:r>
            <w:r>
              <w:t xml:space="preserve">servicePrincipalName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</w:t>
            </w:r>
            <w:r>
              <w:t xml:space="preserve"> </w:t>
            </w:r>
            <w:r>
              <w:t xml:space="preserve">Arc-enabled</w:t>
            </w:r>
            <w:r>
              <w:t xml:space="preserve"> </w:t>
            </w:r>
            <w:r>
              <w:t xml:space="preserve">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resourceName, osType, tags</w:t>
            </w:r>
            <w:r>
              <w:t xml:space="preserve"> </w:t>
            </w:r>
            <w:r>
              <w:t xml:space="preserve">(including OrgPath tag)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agent enrollment</w:t>
            </w:r>
            <w:r>
              <w:t xml:space="preserve"> </w:t>
            </w:r>
            <w:r>
              <w:t xml:space="preserve">(scripted/GPO/ConfigMgr)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tag:</w:t>
            </w:r>
            <w:r>
              <w:t xml:space="preserve"> </w:t>
            </w:r>
            <w:r>
              <w:t xml:space="preserve">OrgPath=[value]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Servers are NOT managed</w:t>
            </w:r>
            <w:r>
              <w:t xml:space="preserve"> </w:t>
            </w:r>
            <w:r>
              <w:t xml:space="preserve">by Intune. See Section</w:t>
            </w:r>
            <w:r>
              <w:t xml:space="preserve"> </w:t>
            </w:r>
            <w:r>
              <w:t xml:space="preserve">5.3.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 Account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sAMAccountName,</w:t>
            </w:r>
            <w:r>
              <w:t xml:space="preserve"> </w:t>
            </w:r>
            <w:r>
              <w:t xml:space="preserve">servicePrincipalName,</w:t>
            </w:r>
            <w:r>
              <w:t xml:space="preserve"> </w:t>
            </w:r>
            <w:r>
              <w:t xml:space="preserve">userAccountControl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Managed Identity</w:t>
            </w:r>
            <w:r>
              <w:t xml:space="preserve"> </w:t>
            </w:r>
            <w:r>
              <w:t xml:space="preserve">(system or</w:t>
            </w:r>
            <w:r>
              <w:t xml:space="preserve"> </w:t>
            </w:r>
            <w:r>
              <w:t xml:space="preserve">user-assigned)</w:t>
            </w:r>
            <w:r>
              <w:t xml:space="preserve"> </w:t>
            </w:r>
            <w:r>
              <w:t xml:space="preserve">or App</w:t>
            </w:r>
            <w:r>
              <w:t xml:space="preserve"> </w:t>
            </w:r>
            <w:r>
              <w:t xml:space="preserve">Registration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appId, servicePrincipalId,</w:t>
            </w:r>
            <w:r>
              <w:t xml:space="preserve"> </w:t>
            </w:r>
            <w:r>
              <w:t xml:space="preserve">managedIdentityResourceId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 tag on App</w:t>
            </w:r>
            <w:r>
              <w:t xml:space="preserve"> </w:t>
            </w:r>
            <w:r>
              <w:t xml:space="preserve">Registration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Eliminate password-based</w:t>
            </w:r>
            <w:r>
              <w:t xml:space="preserve"> </w:t>
            </w:r>
            <w:r>
              <w:t xml:space="preserve">service accounts.</w:t>
            </w:r>
            <w:r>
              <w:t xml:space="preserve"> </w:t>
            </w:r>
            <w:r>
              <w:t xml:space="preserve">Target: Managed Identity</w:t>
            </w:r>
            <w:r>
              <w:t xml:space="preserve"> </w:t>
            </w:r>
            <w:r>
              <w:t xml:space="preserve">or Workload Identity</w:t>
            </w:r>
            <w:r>
              <w:t xml:space="preserve"> </w:t>
            </w:r>
            <w:r>
              <w:t xml:space="preserve">Federation.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mail, displayName,</w:t>
            </w:r>
            <w:r>
              <w:t xml:space="preserve"> </w:t>
            </w:r>
            <w:r>
              <w:t xml:space="preserve">targetAddress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</w:t>
            </w:r>
            <w:r>
              <w:t xml:space="preserve"> </w:t>
            </w:r>
            <w:r>
              <w:t xml:space="preserve">(Org-external)</w:t>
            </w:r>
            <w:r>
              <w:t xml:space="preserve"> </w:t>
            </w:r>
            <w:r>
              <w:t xml:space="preserve">or Guest User</w:t>
            </w:r>
            <w:r>
              <w:t xml:space="preserve"> </w:t>
            </w:r>
            <w:r>
              <w:t xml:space="preserve">(B2B)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mail, displayName,</w:t>
            </w:r>
            <w:r>
              <w:t xml:space="preserve"> </w:t>
            </w:r>
            <w:r>
              <w:t xml:space="preserve">userType=Guest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 (contacts);</w:t>
            </w:r>
            <w:r>
              <w:t xml:space="preserve"> </w:t>
            </w:r>
            <w:r>
              <w:t xml:space="preserve">Manual (B2B guests)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OrgPath:</w:t>
            </w:r>
            <w:r>
              <w:t xml:space="preserve"> </w:t>
            </w:r>
            <w:r>
              <w:t xml:space="preserve">HQ/External/Contacts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B2B Guest for</w:t>
            </w:r>
            <w:r>
              <w:t xml:space="preserve"> </w:t>
            </w:r>
            <w:r>
              <w:t xml:space="preserve">collaboration scenarios.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Organizational</w:t>
            </w:r>
            <w:r>
              <w:t xml:space="preserve"> </w:t>
            </w: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distinguishedName,</w:t>
            </w:r>
            <w:r>
              <w:t xml:space="preserve"> </w:t>
            </w:r>
            <w:r>
              <w:t xml:space="preserve">name,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Administrative</w:t>
            </w:r>
            <w:r>
              <w:t xml:space="preserve"> </w:t>
            </w: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displayName, description,</w:t>
            </w:r>
            <w:r>
              <w:t xml:space="preserve"> </w:t>
            </w:r>
            <w:r>
              <w:t xml:space="preserve">membershipType</w:t>
            </w:r>
            <w:r>
              <w:t xml:space="preserve"> </w:t>
            </w:r>
            <w:r>
              <w:t xml:space="preserve">(dynamic/assigned)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creation based on</w:t>
            </w:r>
            <w:r>
              <w:t xml:space="preserve"> </w:t>
            </w:r>
            <w:r>
              <w:t xml:space="preserve">OrgPath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 scoped to OrgPath prefix</w:t>
            </w:r>
            <w:r>
              <w:t xml:space="preserve"> </w:t>
            </w:r>
            <w:r>
              <w:t xml:space="preserve">(e.g., AU-EAST-IT)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1:1 mapping. AUs</w:t>
            </w:r>
            <w:r>
              <w:t xml:space="preserve"> </w:t>
            </w:r>
            <w:r>
              <w:t xml:space="preserve">consolidate multiple</w:t>
            </w:r>
            <w:r>
              <w:t xml:space="preserve"> </w:t>
            </w:r>
            <w:r>
              <w:t xml:space="preserve">OUs. See Section 2.</w:t>
            </w:r>
          </w:p>
        </w:tc>
      </w:tr>
    </w:tbl>
    <w:p>
      <w:pPr>
        <w:pStyle w:val="BodyText"/>
      </w:pPr>
      <w:r>
        <w:t xml:space="preserve">3.3 Attribute Mapping and Custom Extensions</w:t>
      </w:r>
    </w:p>
    <w:p>
      <w:pPr>
        <w:pStyle w:val="BodyText"/>
      </w:pPr>
      <w:r>
        <w:t xml:space="preserve">Attribute mapping defines how individual data fields on AD objects</w:t>
      </w:r>
      <w:r>
        <w:t xml:space="preserve"> </w:t>
      </w:r>
      <w:r>
        <w:t xml:space="preserve">translate to their Entra ID equivalents. While many attributes have</w:t>
      </w:r>
      <w:r>
        <w:t xml:space="preserve"> </w:t>
      </w:r>
      <w:r>
        <w:t xml:space="preserve">direct 1:1 mappings (e.g., displayName to displayName), others require</w:t>
      </w:r>
      <w:r>
        <w:t xml:space="preserve"> </w:t>
      </w:r>
      <w:r>
        <w:t xml:space="preserve">transformation, concatenation, or routing to custom extension</w:t>
      </w:r>
      <w:r>
        <w:t xml:space="preserve"> </w:t>
      </w:r>
      <w:r>
        <w:t xml:space="preserve">attributes. Table 4 documents the critical attribute mappings that</w:t>
      </w:r>
      <w:r>
        <w:t xml:space="preserve"> </w:t>
      </w:r>
      <w:r>
        <w:t xml:space="preserve">affect identity resolution, OrgPath fidelity, and downstream service</w:t>
      </w:r>
      <w:r>
        <w:t xml:space="preserve"> </w:t>
      </w:r>
      <w:r>
        <w:t xml:space="preserve">integration.</w:t>
      </w:r>
    </w:p>
    <w:p>
      <w:pPr>
        <w:pStyle w:val="BodyText"/>
      </w:pPr>
      <w:r>
        <w:rPr>
          <w:b/>
          <w:bCs/>
        </w:rPr>
        <w:t xml:space="preserve">Table 4: Critical Attribute Mapping — AD to Entra ID</w:t>
      </w:r>
    </w:p>
    <w:tbl>
      <w:tblPr>
        <w:tblStyle w:val="Table"/>
        <w:tblW w:type="pct" w:w="4932"/>
        <w:tblLayout w:type="fixed"/>
        <w:tblLook w:firstRow="1" w:lastRow="0" w:firstColumn="0" w:lastColumn="0" w:noHBand="0" w:noVBand="0" w:val="0020"/>
      </w:tblPr>
      <w:tblGrid>
        <w:gridCol w:w="1926"/>
        <w:gridCol w:w="2996"/>
        <w:gridCol w:w="749"/>
        <w:gridCol w:w="1016"/>
        <w:gridCol w:w="112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 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ID 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Sync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Transformation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OrgPath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Relevance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sAMAccountName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onPremisesSamAccountName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  <w:r>
              <w:t xml:space="preserve"> </w:t>
            </w:r>
            <w:r>
              <w:t xml:space="preserve">Read-only in Entra</w:t>
            </w:r>
            <w:r>
              <w:t xml:space="preserve"> </w:t>
            </w:r>
            <w:r>
              <w:t xml:space="preserve">for synced users.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(identifier</w:t>
            </w:r>
            <w:r>
              <w:t xml:space="preserve"> </w:t>
            </w:r>
            <w:r>
              <w:t xml:space="preserve">only)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userPrincipalName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userPrincipalName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Must use routable</w:t>
            </w:r>
            <w:r>
              <w:t xml:space="preserve"> </w:t>
            </w:r>
            <w:r>
              <w:t xml:space="preserve">UPN suffix (e.g.,</w:t>
            </w:r>
            <w:r>
              <w:t xml:space="preserve"> </w:t>
            </w:r>
            <w:r>
              <w:t xml:space="preserve">@agency.gov, not</w:t>
            </w:r>
            <w:r>
              <w:t xml:space="preserve"> </w:t>
            </w:r>
            <w:r>
              <w:t xml:space="preserve">@agency.local).</w:t>
            </w:r>
            <w:r>
              <w:t xml:space="preserve"> </w:t>
            </w:r>
            <w:r>
              <w:t xml:space="preserve">Suffix</w:t>
            </w:r>
            <w:r>
              <w:t xml:space="preserve"> </w:t>
            </w:r>
            <w:r>
              <w:t xml:space="preserve">transformation</w:t>
            </w:r>
            <w:r>
              <w:t xml:space="preserve"> </w:t>
            </w:r>
            <w:r>
              <w:t xml:space="preserve">applied if AD UPN</w:t>
            </w:r>
            <w:r>
              <w:t xml:space="preserve"> </w:t>
            </w:r>
            <w:r>
              <w:t xml:space="preserve">uses non-routable</w:t>
            </w:r>
            <w:r>
              <w:t xml:space="preserve"> </w:t>
            </w:r>
            <w:r>
              <w:t xml:space="preserve">domain.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(identifier</w:t>
            </w:r>
            <w:r>
              <w:t xml:space="preserve"> </w:t>
            </w:r>
            <w:r>
              <w:t xml:space="preserve">only)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distinguishedName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onPremisesDistinguishedName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  <w:r>
              <w:t xml:space="preserve"> </w:t>
            </w:r>
            <w:r>
              <w:t xml:space="preserve">Read-only. Source</w:t>
            </w:r>
            <w:r>
              <w:t xml:space="preserve"> </w:t>
            </w:r>
            <w:r>
              <w:t xml:space="preserve">for OrgPath</w:t>
            </w:r>
            <w:r>
              <w:t xml:space="preserve"> </w:t>
            </w:r>
            <w:r>
              <w:t xml:space="preserve">derivation.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— OrgPath</w:t>
            </w:r>
            <w:r>
              <w:t xml:space="preserve"> </w:t>
            </w:r>
            <w:r>
              <w:t xml:space="preserve">is derived from the</w:t>
            </w:r>
            <w:r>
              <w:t xml:space="preserve"> </w:t>
            </w:r>
            <w:r>
              <w:t xml:space="preserve">OU components of the</w:t>
            </w:r>
            <w:r>
              <w:t xml:space="preserve"> </w:t>
            </w:r>
            <w:r>
              <w:t xml:space="preserve">distinguishedName.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memberOf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memberOf (synced groups)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memberships</w:t>
            </w:r>
            <w:r>
              <w:t xml:space="preserve"> </w:t>
            </w:r>
            <w:r>
              <w:t xml:space="preserve">sync if groups are</w:t>
            </w:r>
            <w:r>
              <w:t xml:space="preserve"> </w:t>
            </w:r>
            <w:r>
              <w:t xml:space="preserve">in sync scope.</w:t>
            </w:r>
            <w:r>
              <w:t xml:space="preserve"> </w:t>
            </w:r>
            <w:r>
              <w:t xml:space="preserve">Dynamic groups in</w:t>
            </w:r>
            <w:r>
              <w:t xml:space="preserve"> </w:t>
            </w:r>
            <w:r>
              <w:t xml:space="preserve">Entra are</w:t>
            </w:r>
            <w:r>
              <w:t xml:space="preserve"> </w:t>
            </w:r>
            <w:r>
              <w:t xml:space="preserve">additive.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Indirect — dynamic</w:t>
            </w:r>
            <w:r>
              <w:t xml:space="preserve"> </w:t>
            </w:r>
            <w:r>
              <w:t xml:space="preserve">groups use OrgPath</w:t>
            </w:r>
            <w:r>
              <w:t xml:space="preserve"> </w:t>
            </w:r>
            <w:r>
              <w:t xml:space="preserve">attribute for</w:t>
            </w:r>
            <w:r>
              <w:t xml:space="preserve"> </w:t>
            </w:r>
            <w:r>
              <w:t xml:space="preserve">membership rules.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department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department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Supplementary —</w:t>
            </w:r>
            <w:r>
              <w:t xml:space="preserve"> </w:t>
            </w:r>
            <w:r>
              <w:t xml:space="preserve">used to validate</w:t>
            </w:r>
            <w:r>
              <w:t xml:space="preserve"> </w:t>
            </w:r>
            <w:r>
              <w:t xml:space="preserve">OrgPath department</w:t>
            </w:r>
            <w:r>
              <w:t xml:space="preserve"> </w:t>
            </w:r>
            <w:r>
              <w:t xml:space="preserve">segment.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physicalDeliveryOfficeName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Supplementary —</w:t>
            </w:r>
            <w:r>
              <w:t xml:space="preserve"> </w:t>
            </w:r>
            <w:r>
              <w:t xml:space="preserve">used to validate</w:t>
            </w:r>
            <w:r>
              <w:t xml:space="preserve"> </w:t>
            </w:r>
            <w:r>
              <w:t xml:space="preserve">OrgPath region</w:t>
            </w:r>
            <w:r>
              <w:t xml:space="preserve"> </w:t>
            </w:r>
            <w:r>
              <w:t xml:space="preserve">segment.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extensionAttribute1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onPremisesExtensionAttributes.extensionAttribute1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  <w:r>
              <w:t xml:space="preserve"> </w:t>
            </w:r>
            <w:r>
              <w:t xml:space="preserve">This is the</w:t>
            </w:r>
            <w:r>
              <w:t xml:space="preserve"> </w:t>
            </w:r>
            <w:r>
              <w:t xml:space="preserve">OrgPath carrier</w:t>
            </w:r>
            <w:r>
              <w:t xml:space="preserve"> </w:t>
            </w:r>
            <w:r>
              <w:t xml:space="preserve">attribute.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carries</w:t>
            </w:r>
            <w:r>
              <w:t xml:space="preserve"> </w:t>
            </w:r>
            <w:r>
              <w:t xml:space="preserve">the OrgPath value.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extensionAttribute2–15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onPremisesExtensionAttributes.extensionAttribute2–15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mapping.</w:t>
            </w:r>
            <w:r>
              <w:t xml:space="preserve"> </w:t>
            </w:r>
            <w:r>
              <w:t xml:space="preserve">Available for</w:t>
            </w:r>
            <w:r>
              <w:t xml:space="preserve"> </w:t>
            </w:r>
            <w:r>
              <w:t xml:space="preserve">additional</w:t>
            </w:r>
            <w:r>
              <w:t xml:space="preserve"> </w:t>
            </w:r>
            <w:r>
              <w:t xml:space="preserve">metadata.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Reserved for future</w:t>
            </w:r>
            <w:r>
              <w:t xml:space="preserve"> </w:t>
            </w:r>
            <w:r>
              <w:t xml:space="preserve">OrgPath extensions</w:t>
            </w:r>
            <w:r>
              <w:t xml:space="preserve"> </w:t>
            </w:r>
            <w:r>
              <w:t xml:space="preserve">(e.g., cost center,</w:t>
            </w:r>
            <w:r>
              <w:t xml:space="preserve"> </w:t>
            </w:r>
            <w:r>
              <w:t xml:space="preserve">project code).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</w:t>
            </w:r>
            <w:r>
              <w:t xml:space="preserve"> </w:t>
            </w:r>
            <w:r>
              <w:t xml:space="preserve">resolution —</w:t>
            </w:r>
            <w:r>
              <w:t xml:space="preserve"> </w:t>
            </w:r>
            <w:r>
              <w:t xml:space="preserve">maps AD DN to</w:t>
            </w:r>
            <w:r>
              <w:t xml:space="preserve"> </w:t>
            </w:r>
            <w:r>
              <w:t xml:space="preserve">Entra objectId.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Used in access</w:t>
            </w:r>
            <w:r>
              <w:t xml:space="preserve"> </w:t>
            </w:r>
            <w:r>
              <w:t xml:space="preserve">reviews and</w:t>
            </w:r>
            <w:r>
              <w:t xml:space="preserve"> </w:t>
            </w:r>
            <w:r>
              <w:t xml:space="preserve">entitlement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delegation.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Computed from</w:t>
            </w:r>
            <w:r>
              <w:t xml:space="preserve"> </w:t>
            </w:r>
            <w:r>
              <w:t xml:space="preserve">manager attribute.</w:t>
            </w:r>
            <w:r>
              <w:t xml:space="preserve"> </w:t>
            </w:r>
            <w:r>
              <w:t xml:space="preserve">Read-only.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Used in reporting</w:t>
            </w:r>
            <w:r>
              <w:t xml:space="preserve"> </w:t>
            </w:r>
            <w:r>
              <w:t xml:space="preserve">and delegation chain</w:t>
            </w:r>
            <w:r>
              <w:t xml:space="preserve"> </w:t>
            </w:r>
            <w:r>
              <w:t xml:space="preserve">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msDS-cloudExtensionAttribute1–20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Security Attributes (Entra ID P1/P2)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→ Entra</w:t>
            </w:r>
            <w:r>
              <w:t xml:space="preserve"> </w:t>
            </w:r>
            <w:r>
              <w:t xml:space="preserve">(manual)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synced</w:t>
            </w:r>
            <w:r>
              <w:t xml:space="preserve"> </w:t>
            </w:r>
            <w:r>
              <w:t xml:space="preserve">automatically.</w:t>
            </w:r>
            <w:r>
              <w:t xml:space="preserve"> </w:t>
            </w:r>
            <w:r>
              <w:t xml:space="preserve">Requires custom</w:t>
            </w:r>
            <w:r>
              <w:t xml:space="preserve"> </w:t>
            </w:r>
            <w:r>
              <w:t xml:space="preserve">sync rule or Graph</w:t>
            </w:r>
            <w:r>
              <w:t xml:space="preserve"> </w:t>
            </w:r>
            <w:r>
              <w:t xml:space="preserve">API script.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Alternative OrgPath</w:t>
            </w:r>
            <w:r>
              <w:t xml:space="preserve"> </w:t>
            </w:r>
            <w:r>
              <w:t xml:space="preserve">carrier for</w:t>
            </w:r>
            <w:r>
              <w:t xml:space="preserve"> </w:t>
            </w:r>
            <w:r>
              <w:t xml:space="preserve">cloud-native-only</w:t>
            </w:r>
            <w:r>
              <w:t xml:space="preserve"> </w:t>
            </w:r>
            <w:r>
              <w:t xml:space="preserve">attributes.</w:t>
            </w:r>
          </w:p>
        </w:tc>
      </w:tr>
    </w:tbl>
    <w:p>
      <w:pPr>
        <w:pStyle w:val="BodyText"/>
      </w:pPr>
      <w:r>
        <w:t xml:space="preserve">3.4 Identity Lifecycle Governance</w:t>
      </w:r>
    </w:p>
    <w:p>
      <w:pPr>
        <w:pStyle w:val="BodyText"/>
      </w:pPr>
      <w:r>
        <w:t xml:space="preserve">In legacy Active Directory, identity lifecycle management — the</w:t>
      </w:r>
      <w:r>
        <w:t xml:space="preserve"> </w:t>
      </w:r>
      <w:r>
        <w:t xml:space="preserve">processes of creating, modifying, and removing user accounts — is</w:t>
      </w:r>
      <w:r>
        <w:t xml:space="preserve"> </w:t>
      </w:r>
      <w:r>
        <w:t xml:space="preserve">governed by OU-based delegation, manual provisioning workflows, and</w:t>
      </w:r>
      <w:r>
        <w:t xml:space="preserve"> </w:t>
      </w:r>
      <w:r>
        <w:t xml:space="preserve">scripted automation. An administrator with delegated control over an OU</w:t>
      </w:r>
      <w:r>
        <w:t xml:space="preserve"> </w:t>
      </w:r>
      <w:r>
        <w:t xml:space="preserve">can create users, modify attributes, and disable accounts within that</w:t>
      </w:r>
      <w:r>
        <w:t xml:space="preserve"> </w:t>
      </w:r>
      <w:r>
        <w:t xml:space="preserve">container. This model is inherently manual, difficult to audit at scale,</w:t>
      </w:r>
      <w:r>
        <w:t xml:space="preserve"> </w:t>
      </w:r>
      <w:r>
        <w:t xml:space="preserve">and dependent on the administrator's knowledge of which OU an object</w:t>
      </w:r>
      <w:r>
        <w:t xml:space="preserve"> </w:t>
      </w:r>
      <w:r>
        <w:t xml:space="preserve">should reside in.</w:t>
      </w:r>
    </w:p>
    <w:p>
      <w:pPr>
        <w:pStyle w:val="BodyText"/>
      </w:pPr>
      <w:r>
        <w:t xml:space="preserve">The modernized model replaces OU-based delegation with Entra ID</w:t>
      </w:r>
      <w:r>
        <w:t xml:space="preserve"> </w:t>
      </w:r>
      <w:r>
        <w:t xml:space="preserve">Governance, a suite of cloud-native identity lifecycle services that</w:t>
      </w:r>
      <w:r>
        <w:t xml:space="preserve"> </w:t>
      </w:r>
      <w:r>
        <w:t xml:space="preserve">automate and enforce governance at every stage of the identity</w:t>
      </w:r>
      <w:r>
        <w:t xml:space="preserve"> </w:t>
      </w:r>
      <w:r>
        <w:t xml:space="preserve">lifecycle:</w:t>
      </w:r>
    </w:p>
    <w:p>
      <w:pPr>
        <w:numPr>
          <w:ilvl w:val="0"/>
          <w:numId w:val="1012"/>
        </w:numPr>
      </w:pPr>
      <w:r>
        <w:rPr>
          <w:b/>
          <w:bCs/>
        </w:rPr>
        <w:t xml:space="preserve">Joiner:</w:t>
      </w:r>
      <w:r>
        <w:t xml:space="preserve"> </w:t>
      </w:r>
      <w:r>
        <w:t xml:space="preserve">When a new employee is onboarded, an access package in</w:t>
      </w:r>
      <w:r>
        <w:t xml:space="preserve"> </w:t>
      </w:r>
      <w:r>
        <w:t xml:space="preserve">Entra ID Governance Entitlement Management is assigned based on role</w:t>
      </w:r>
      <w:r>
        <w:t xml:space="preserve"> </w:t>
      </w:r>
      <w:r>
        <w:t xml:space="preserve">and OrgPath. The access package bundles group memberships, application</w:t>
      </w:r>
      <w:r>
        <w:t xml:space="preserve"> </w:t>
      </w:r>
      <w:r>
        <w:t xml:space="preserve">assignments, and SharePoint site access into a single</w:t>
      </w:r>
      <w:r>
        <w:t xml:space="preserve"> </w:t>
      </w:r>
      <w:r>
        <w:t xml:space="preserve">request-and-approval workflow. The OrgPath attribute is set during</w:t>
      </w:r>
      <w:r>
        <w:t xml:space="preserve"> </w:t>
      </w:r>
      <w:r>
        <w:t xml:space="preserve">provisioning and triggers dynamic group membership and AU placement</w:t>
      </w:r>
      <w:r>
        <w:t xml:space="preserve"> </w:t>
      </w:r>
      <w:r>
        <w:t xml:space="preserve">automatically.</w:t>
      </w:r>
    </w:p>
    <w:p>
      <w:pPr>
        <w:numPr>
          <w:ilvl w:val="0"/>
          <w:numId w:val="1012"/>
        </w:numPr>
      </w:pPr>
      <w:r>
        <w:rPr>
          <w:b/>
          <w:bCs/>
        </w:rPr>
        <w:t xml:space="preserve">Mover:</w:t>
      </w:r>
      <w:r>
        <w:t xml:space="preserve"> </w:t>
      </w:r>
      <w:r>
        <w:t xml:space="preserve">When an employee changes roles or departments, the OrgPath</w:t>
      </w:r>
      <w:r>
        <w:t xml:space="preserve"> </w:t>
      </w:r>
      <w:r>
        <w:t xml:space="preserve">attribute is updated through a governed change process. Dynamic group</w:t>
      </w:r>
      <w:r>
        <w:t xml:space="preserve"> </w:t>
      </w:r>
      <w:r>
        <w:t xml:space="preserve">memberships recalculate automatically. The employee's existing access</w:t>
      </w:r>
      <w:r>
        <w:t xml:space="preserve"> </w:t>
      </w:r>
      <w:r>
        <w:t xml:space="preserve">package is revoked and a new access package matching the new role is</w:t>
      </w:r>
      <w:r>
        <w:t xml:space="preserve"> </w:t>
      </w:r>
      <w:r>
        <w:t xml:space="preserve">assigned. Access reviews are triggered to verify that the mover's</w:t>
      </w:r>
      <w:r>
        <w:t xml:space="preserve"> </w:t>
      </w:r>
      <w:r>
        <w:t xml:space="preserve">access is appropriate for the new position.</w:t>
      </w:r>
    </w:p>
    <w:p>
      <w:pPr>
        <w:numPr>
          <w:ilvl w:val="0"/>
          <w:numId w:val="1012"/>
        </w:numPr>
      </w:pPr>
      <w:r>
        <w:rPr>
          <w:b/>
          <w:bCs/>
        </w:rPr>
        <w:t xml:space="preserve">Leaver:</w:t>
      </w:r>
      <w:r>
        <w:t xml:space="preserve"> </w:t>
      </w:r>
      <w:r>
        <w:t xml:space="preserve">When an employee departs, the identity lifecycle workflow</w:t>
      </w:r>
      <w:r>
        <w:t xml:space="preserve"> </w:t>
      </w:r>
      <w:r>
        <w:t xml:space="preserve">disables the account, revokes all access packages, removes dynamic</w:t>
      </w:r>
      <w:r>
        <w:t xml:space="preserve"> </w:t>
      </w:r>
      <w:r>
        <w:t xml:space="preserve">group memberships (by clearing the OrgPath attribute), and initiates</w:t>
      </w:r>
      <w:r>
        <w:t xml:space="preserve"> </w:t>
      </w:r>
      <w:r>
        <w:t xml:space="preserve">the data retention and litigation-hold procedures defined by policy.</w:t>
      </w:r>
      <w:r>
        <w:t xml:space="preserve"> </w:t>
      </w:r>
      <w:r>
        <w:t xml:space="preserve">After the retention period, the account is hard-deleted.</w:t>
      </w:r>
    </w:p>
    <w:p>
      <w:pPr>
        <w:pStyle w:val="FirstParagraph"/>
      </w:pPr>
      <w:r>
        <w:t xml:space="preserve">Entra ID Governance Access Reviews provide the periodic certification</w:t>
      </w:r>
      <w:r>
        <w:t xml:space="preserve"> </w:t>
      </w:r>
      <w:r>
        <w:t xml:space="preserve">mechanism that replaces the informal "OU audit" of the legacy model.</w:t>
      </w:r>
      <w:r>
        <w:t xml:space="preserve"> </w:t>
      </w:r>
      <w:r>
        <w:t xml:space="preserve">Access reviews can be scoped to Administrative Units (which align to</w:t>
      </w:r>
      <w:r>
        <w:t xml:space="preserve"> </w:t>
      </w:r>
      <w:r>
        <w:t xml:space="preserve">OrgPath prefixes), ensuring that reviewers only certify access for users</w:t>
      </w:r>
      <w:r>
        <w:t xml:space="preserve"> </w:t>
      </w:r>
      <w:r>
        <w:t xml:space="preserve">within their organizational scope. Reviews can run on defined schedules</w:t>
      </w:r>
      <w:r>
        <w:t xml:space="preserve"> </w:t>
      </w:r>
      <w:r>
        <w:t xml:space="preserve">(quarterly, semi-annually) and produce machine-readable attestation</w:t>
      </w:r>
      <w:r>
        <w:t xml:space="preserve"> </w:t>
      </w:r>
      <w:r>
        <w:t xml:space="preserve">records that integrate into the UIAO SCuBA governance provenance chain</w:t>
      </w:r>
      <w:r>
        <w:t xml:space="preserve"> </w:t>
      </w:r>
      <w:r>
        <w:t xml:space="preserve">described in Section 6.</w:t>
      </w:r>
    </w:p>
    <w:p>
      <w:pPr>
        <w:pStyle w:val="BodyText"/>
      </w:pPr>
      <w:r>
        <w:t xml:space="preserve">+———————————+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Figure 2.4 — Diagram 2: Identity Synchronization Architecture** Dimensions: 6" title="" id="81" name="Picture"/>
            <a:graphic>
              <a:graphicData uri="http://schemas.openxmlformats.org/drawingml/2006/picture">
                <pic:pic>
                  <pic:nvPicPr>
                    <pic:cNvPr descr="images/02-04-diagram-2-identity-synchronization-architecture-dimensions-6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{fig-alt=</w:t>
      </w:r>
      <w:r>
        <w:t xml:space="preserve">“Left Side”</w:t>
      </w:r>
      <w:r>
        <w:t xml:space="preserve">On-Premises Active Directory”:** Two domain controller server icons labeled</w:t>
      </w:r>
      <w:r>
        <w:t xml:space="preserve"> </w:t>
      </w:r>
      <w:r>
        <w:t xml:space="preserve">“DC-01”</w:t>
      </w:r>
      <w:r>
        <w:t xml:space="preserve"> </w:t>
      </w:r>
      <w:r>
        <w:t xml:space="preserve">and</w:t>
      </w:r>
      <w:r>
        <w:t xml:space="preserve"> </w:t>
      </w:r>
      <w:r>
        <w:t xml:space="preserve">“DC-02”</w:t>
      </w:r>
      <w:r>
        <w:t xml:space="preserve"> </w:t>
      </w:r>
      <w:r>
        <w:t xml:space="preserve">with a shared cylinder icon labeled</w:t>
      </w:r>
      <w:r>
        <w:t xml:space="preserve"> </w:t>
      </w:r>
      <w:r>
        <w:t xml:space="preserve">“AD Database”</w:t>
      </w:r>
      <w:r>
        <w:t xml:space="preserve">.” width=</w:t>
      </w:r>
      <w:r>
        <w:t xml:space="preserve">“720”</w:t>
      </w:r>
      <w:r>
        <w:t xml:space="preserve">}</w:t>
      </w:r>
    </w:p>
    <w:p>
      <w:pPr>
        <w:pStyle w:val="BodyText"/>
      </w:pPr>
      <w:r>
        <w:t xml:space="preserve">service.  |</w:t>
      </w:r>
      <w:r>
        <w:br/>
      </w:r>
      <w:r>
        <w:t xml:space="preserve">  |</w:t>
      </w:r>
      <w:r>
        <w:br/>
      </w:r>
      <w:r>
        <w:rPr>
          <w:b/>
          <w:bCs/>
        </w:rPr>
        <w:t xml:space="preserve">Visual Style:</w:t>
      </w:r>
      <w:r>
        <w:t xml:space="preserve"> </w:t>
      </w:r>
      <w:r>
        <w:t xml:space="preserve">White |</w:t>
      </w:r>
      <w:r>
        <w:br/>
      </w:r>
      <w:r>
        <w:t xml:space="preserve">background. Blue (#2b5797) for |</w:t>
      </w:r>
      <w:r>
        <w:br/>
      </w:r>
      <w:r>
        <w:t xml:space="preserve">legacy components. Green |</w:t>
      </w:r>
      <w:r>
        <w:br/>
      </w:r>
      <w:r>
        <w:t xml:space="preserve">(#2e7d32) for modern/strategic |</w:t>
      </w:r>
      <w:r>
        <w:br/>
      </w:r>
      <w:r>
        <w:t xml:space="preserve">components. Black (#1a1a1a) |</w:t>
      </w:r>
      <w:r>
        <w:br/>
      </w:r>
      <w:r>
        <w:t xml:space="preserve">text. Labeled arrows for all |</w:t>
      </w:r>
      <w:r>
        <w:br/>
      </w:r>
      <w:r>
        <w:t xml:space="preserve">data flows. A legend in the |</w:t>
      </w:r>
      <w:r>
        <w:br/>
      </w:r>
      <w:r>
        <w:t xml:space="preserve">bottom-right corner explains |</w:t>
      </w:r>
      <w:r>
        <w:br/>
      </w:r>
      <w:r>
        <w:t xml:space="preserve">color coding. |</w:t>
      </w:r>
    </w:p>
    <w:p>
      <w:pPr>
        <w:pStyle w:val="BodyText"/>
      </w:pPr>
      <w:r>
        <w:t xml:space="preserve">+———————————+</w:t>
      </w:r>
    </w:p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bookmarkEnd w:id="83"/>
    <w:bookmarkStart w:id="87" w:name="X824f7bd1357e2797cef6ba04d859068ca93bed4"/>
    <w:p>
      <w:pPr>
        <w:pStyle w:val="Heading2"/>
      </w:pPr>
      <w:r>
        <w:t xml:space="preserve">Appendix B — Boundary Workarounds and Network Visibility (Restored Detail)</w:t>
      </w:r>
    </w:p>
    <w:p>
      <w:pPr>
        <w:pStyle w:val="BlockText"/>
      </w:pPr>
      <w:r>
        <w:rPr>
          <w:b/>
          <w:bCs/>
        </w:rPr>
        <w:t xml:space="preserve">Why this appendix exists.</w:t>
      </w:r>
      <w:r>
        <w:t xml:space="preserve"> </w:t>
      </w:r>
      <w:r>
        <w:t xml:space="preserve">Phase 1 Rev 0.x §8 framed boundary</w:t>
      </w:r>
      <w:r>
        <w:t xml:space="preserve"> </w:t>
      </w:r>
      <w:r>
        <w:t xml:space="preserve">resolution as</w:t>
      </w:r>
      <w:r>
        <w:t xml:space="preserve"> </w:t>
      </w:r>
      <w:r>
        <w:t xml:space="preserve">“Potential and In Progress”</w:t>
      </w:r>
      <w:r>
        <w:t xml:space="preserve"> </w:t>
      </w:r>
      <w:r>
        <w:t xml:space="preserve">without the operational</w:t>
      </w:r>
      <w:r>
        <w:t xml:space="preserve"> </w:t>
      </w:r>
      <w:r>
        <w:t xml:space="preserve">detail of the original §8. The detail below — including the</w:t>
      </w:r>
      <w:r>
        <w:t xml:space="preserve"> </w:t>
      </w:r>
      <w:r>
        <w:rPr>
          <w:b/>
          <w:bCs/>
        </w:rPr>
        <w:t xml:space="preserve">Cisco</w:t>
      </w:r>
      <w:r>
        <w:rPr>
          <w:b/>
          <w:bCs/>
        </w:rPr>
        <w:t xml:space="preserve"> </w:t>
      </w:r>
      <w:r>
        <w:rPr>
          <w:b/>
          <w:bCs/>
        </w:rPr>
        <w:t xml:space="preserve">ThousandEyes for Government</w:t>
      </w:r>
      <w:r>
        <w:t xml:space="preserve"> </w:t>
      </w:r>
      <w:r>
        <w:t xml:space="preserve">FedRAMP-Moderate authorized monitoring</w:t>
      </w:r>
      <w:r>
        <w:t xml:space="preserve"> </w:t>
      </w:r>
      <w:r>
        <w:t xml:space="preserve">path — is restored as Phase 1 reference for network architects and</w:t>
      </w:r>
      <w:r>
        <w:t xml:space="preserve"> </w:t>
      </w:r>
      <w:r>
        <w:t xml:space="preserve">security operations.</w:t>
      </w:r>
    </w:p>
    <w:p>
      <w:pPr>
        <w:pStyle w:val="FirstParagraph"/>
      </w:pPr>
      <w:r>
        <w:t xml:space="preserve">Section 8 — Boundary Workarounds and Network Visibility</w:t>
      </w:r>
    </w:p>
    <w:p>
      <w:pPr>
        <w:pStyle w:val="BodyText"/>
      </w:pPr>
      <w:r>
        <w:t xml:space="preserve">GCC-Moderate M365 environments provide compliance isolation within</w:t>
      </w:r>
      <w:r>
        <w:t xml:space="preserve"> </w:t>
      </w:r>
      <w:r>
        <w:t xml:space="preserve">Microsoft's government cloud boundary, but this isolation can create</w:t>
      </w:r>
      <w:r>
        <w:t xml:space="preserve"> </w:t>
      </w:r>
      <w:r>
        <w:t xml:space="preserve">operational visibility gaps that must be addressed to maintain service</w:t>
      </w:r>
      <w:r>
        <w:t xml:space="preserve"> </w:t>
      </w:r>
      <w:r>
        <w:t xml:space="preserve">quality, troubleshoot performance issues, and validate network path</w:t>
      </w:r>
      <w:r>
        <w:t xml:space="preserve"> </w:t>
      </w:r>
      <w:r>
        <w:t xml:space="preserve">integrity. This section describes the visibility gap, the tools</w:t>
      </w:r>
      <w:r>
        <w:t xml:space="preserve"> </w:t>
      </w:r>
      <w:r>
        <w:t xml:space="preserve">available to close it, and the monitoring architecture that respects the</w:t>
      </w:r>
      <w:r>
        <w:t xml:space="preserve"> </w:t>
      </w:r>
      <w:r>
        <w:t xml:space="preserve">GCC-Moderate boundary while providing actionable intelligence.</w:t>
      </w:r>
    </w:p>
    <w:p>
      <w:pPr>
        <w:pStyle w:val="BodyText"/>
      </w:pPr>
      <w:r>
        <w:t xml:space="preserve">8.1 The GCC-Moderate Visibility Gap</w:t>
      </w:r>
    </w:p>
    <w:p>
      <w:pPr>
        <w:pStyle w:val="BodyText"/>
      </w:pPr>
      <w:r>
        <w:t xml:space="preserve">Traditional enterprise monitoring stacks are designed for commercial</w:t>
      </w:r>
      <w:r>
        <w:t xml:space="preserve"> </w:t>
      </w:r>
      <w:r>
        <w:t xml:space="preserve">cloud endpoints and commercial internet routing. GCC-Moderate M365</w:t>
      </w:r>
      <w:r>
        <w:t xml:space="preserve"> </w:t>
      </w:r>
      <w:r>
        <w:t xml:space="preserve">services operate on dedicated infrastructure with government-specific</w:t>
      </w:r>
      <w:r>
        <w:t xml:space="preserve"> </w:t>
      </w:r>
      <w:r>
        <w:t xml:space="preserve">endpoints (e.g., *.gcc.teams.microsoft.com, *.protection.office365.us</w:t>
      </w:r>
      <w:r>
        <w:t xml:space="preserve"> </w:t>
      </w:r>
      <w:r>
        <w:t xml:space="preserve">for certain services) and routing that may differ from commercial M365.</w:t>
      </w:r>
      <w:r>
        <w:t xml:space="preserve"> </w:t>
      </w:r>
      <w:r>
        <w:t xml:space="preserve">This creates several visibility gaps: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Network Path Opacity:</w:t>
      </w:r>
      <w:r>
        <w:t xml:space="preserve"> </w:t>
      </w:r>
      <w:r>
        <w:t xml:space="preserve">Standard traceroute and path analysis tools</w:t>
      </w:r>
      <w:r>
        <w:t xml:space="preserve"> </w:t>
      </w:r>
      <w:r>
        <w:t xml:space="preserve">may not accurately map the route from user locations to GCC-Moderate</w:t>
      </w:r>
      <w:r>
        <w:t xml:space="preserve"> </w:t>
      </w:r>
      <w:r>
        <w:t xml:space="preserve">service endpoints, particularly when traffic traverses Microsoft's</w:t>
      </w:r>
      <w:r>
        <w:t xml:space="preserve"> </w:t>
      </w:r>
      <w:r>
        <w:t xml:space="preserve">government cloud backbone.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Service Performance Correlation:</w:t>
      </w:r>
      <w:r>
        <w:t xml:space="preserve"> </w:t>
      </w:r>
      <w:r>
        <w:t xml:space="preserve">Without end-to-end visibility, it</w:t>
      </w:r>
      <w:r>
        <w:t xml:space="preserve"> </w:t>
      </w:r>
      <w:r>
        <w:t xml:space="preserve">is difficult to determine whether a user-reported performance issue</w:t>
      </w:r>
      <w:r>
        <w:t xml:space="preserve"> </w:t>
      </w:r>
      <w:r>
        <w:t xml:space="preserve">originates in the local network, the ISP, the internet exchange, or</w:t>
      </w:r>
      <w:r>
        <w:t xml:space="preserve"> </w:t>
      </w:r>
      <w:r>
        <w:t xml:space="preserve">the M365 service itself.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Synthetic Monitoring Gaps:</w:t>
      </w:r>
      <w:r>
        <w:t xml:space="preserve"> </w:t>
      </w:r>
      <w:r>
        <w:t xml:space="preserve">Commercial synthetic monitoring</w:t>
      </w:r>
      <w:r>
        <w:t xml:space="preserve"> </w:t>
      </w:r>
      <w:r>
        <w:t xml:space="preserve">services may not have test agents positioned to accurately measure</w:t>
      </w:r>
      <w:r>
        <w:t xml:space="preserve"> </w:t>
      </w:r>
      <w:r>
        <w:t xml:space="preserve">latency and availability for GCC-Moderate endpoints.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User Experience Telemetry:</w:t>
      </w:r>
      <w:r>
        <w:t xml:space="preserve"> </w:t>
      </w:r>
      <w:r>
        <w:t xml:space="preserve">Native M365 telemetry (Network</w:t>
      </w:r>
      <w:r>
        <w:t xml:space="preserve"> </w:t>
      </w:r>
      <w:r>
        <w:t xml:space="preserve">Connectivity Test, Service Health Dashboard) provides service-side</w:t>
      </w:r>
      <w:r>
        <w:t xml:space="preserve"> </w:t>
      </w:r>
      <w:r>
        <w:t xml:space="preserve">visibility but limited client-side and network-path visibility.</w:t>
      </w:r>
    </w:p>
    <w:p>
      <w:pPr>
        <w:pStyle w:val="FirstParagraph"/>
      </w:pPr>
      <w:r>
        <w:t xml:space="preserve">8.2 ThousandEyes for Government</w:t>
      </w:r>
    </w:p>
    <w:p>
      <w:pPr>
        <w:pStyle w:val="BodyText"/>
      </w:pPr>
      <w:r>
        <w:t xml:space="preserve">Cisco ThousandEyes for Government achieved FedRAMP Moderate</w:t>
      </w:r>
      <w:r>
        <w:t xml:space="preserve"> </w:t>
      </w:r>
      <w:r>
        <w:t xml:space="preserve">authorization in March 2026, hosted on AWS GovCloud (US). This</w:t>
      </w:r>
      <w:r>
        <w:t xml:space="preserve"> </w:t>
      </w:r>
      <w:r>
        <w:t xml:space="preserve">authorization enables federal agencies operating in GCC-Moderate</w:t>
      </w:r>
      <w:r>
        <w:t xml:space="preserve"> </w:t>
      </w:r>
      <w:r>
        <w:t xml:space="preserve">environments to deploy ThousandEyes for comprehensive network visibility</w:t>
      </w:r>
      <w:r>
        <w:t xml:space="preserve"> </w:t>
      </w:r>
      <w:r>
        <w:t xml:space="preserve">without violating boundary requirements. ThousandEyes for Government</w:t>
      </w:r>
      <w:r>
        <w:t xml:space="preserve"> </w:t>
      </w:r>
      <w:r>
        <w:t xml:space="preserve">provides: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End-to-End Network Path Visualization:</w:t>
      </w:r>
      <w:r>
        <w:t xml:space="preserve"> </w:t>
      </w:r>
      <w:r>
        <w:t xml:space="preserve">Layer 3 hop-by-hop path</w:t>
      </w:r>
      <w:r>
        <w:t xml:space="preserve"> </w:t>
      </w:r>
      <w:r>
        <w:t xml:space="preserve">traces from user locations to M365 service endpoints, including ASN</w:t>
      </w:r>
      <w:r>
        <w:t xml:space="preserve"> </w:t>
      </w:r>
      <w:r>
        <w:t xml:space="preserve">identification, latency per hop, and packet loss detection.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Synthetic Monitoring:</w:t>
      </w:r>
      <w:r>
        <w:t xml:space="preserve"> </w:t>
      </w:r>
      <w:r>
        <w:t xml:space="preserve">Scheduled synthetic tests against M365</w:t>
      </w:r>
      <w:r>
        <w:t xml:space="preserve"> </w:t>
      </w:r>
      <w:r>
        <w:t xml:space="preserve">service URLs (Exchange Online, SharePoint, Teams) that measure</w:t>
      </w:r>
      <w:r>
        <w:t xml:space="preserve"> </w:t>
      </w:r>
      <w:r>
        <w:t xml:space="preserve">availability, response time, and SSL negotiation performance from</w:t>
      </w:r>
      <w:r>
        <w:t xml:space="preserve"> </w:t>
      </w:r>
      <w:r>
        <w:t xml:space="preserve">multiple vantage points.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Real User Monitoring (RUM):</w:t>
      </w:r>
      <w:r>
        <w:t xml:space="preserve"> </w:t>
      </w:r>
      <w:r>
        <w:t xml:space="preserve">Endpoint Agents installed on managed</w:t>
      </w:r>
      <w:r>
        <w:t xml:space="preserve"> </w:t>
      </w:r>
      <w:r>
        <w:t xml:space="preserve">employee devices capture real user experience data — page load</w:t>
      </w:r>
      <w:r>
        <w:t xml:space="preserve"> </w:t>
      </w:r>
      <w:r>
        <w:t xml:space="preserve">times, DNS resolution times, and TCP connection times — for M365 web</w:t>
      </w:r>
      <w:r>
        <w:t xml:space="preserve"> </w:t>
      </w:r>
      <w:r>
        <w:t xml:space="preserve">applications.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Enterprise Agent Deployment:</w:t>
      </w:r>
      <w:r>
        <w:t xml:space="preserve"> </w:t>
      </w:r>
      <w:r>
        <w:t xml:space="preserve">Dedicated Enterprise Agents deployed</w:t>
      </w:r>
      <w:r>
        <w:t xml:space="preserve"> </w:t>
      </w:r>
      <w:r>
        <w:t xml:space="preserve">in key network locations (headquarters, branch offices, data centers,</w:t>
      </w:r>
      <w:r>
        <w:t xml:space="preserve"> </w:t>
      </w:r>
      <w:r>
        <w:t xml:space="preserve">call centers) provide continuous monitoring from fixed vantage points.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ISP and Provider Correlation:</w:t>
      </w:r>
      <w:r>
        <w:t xml:space="preserve"> </w:t>
      </w:r>
      <w:r>
        <w:t xml:space="preserve">ThousandEyes correlates network path</w:t>
      </w:r>
      <w:r>
        <w:t xml:space="preserve"> </w:t>
      </w:r>
      <w:r>
        <w:t xml:space="preserve">data with known ISP outages, peering changes, and BGP route</w:t>
      </w:r>
      <w:r>
        <w:t xml:space="preserve"> </w:t>
      </w:r>
      <w:r>
        <w:t xml:space="preserve">modifications, enabling rapid root cause identification for</w:t>
      </w:r>
      <w:r>
        <w:t xml:space="preserve"> </w:t>
      </w:r>
      <w:r>
        <w:t xml:space="preserve">network-related service degradation.</w:t>
      </w:r>
    </w:p>
    <w:p>
      <w:pPr>
        <w:numPr>
          <w:ilvl w:val="0"/>
          <w:numId w:val="1014"/>
        </w:numPr>
      </w:pPr>
      <w:r>
        <w:rPr>
          <w:b/>
          <w:bCs/>
        </w:rPr>
        <w:t xml:space="preserve">Microsoft Collaboration:</w:t>
      </w:r>
      <w:r>
        <w:t xml:space="preserve"> </w:t>
      </w:r>
      <w:r>
        <w:t xml:space="preserve">ThousandEyes provides a direct</w:t>
      </w:r>
      <w:r>
        <w:t xml:space="preserve"> </w:t>
      </w:r>
      <w:r>
        <w:t xml:space="preserve">data-sharing capability with Microsoft 365 technical operations teams,</w:t>
      </w:r>
      <w:r>
        <w:t xml:space="preserve"> </w:t>
      </w:r>
      <w:r>
        <w:t xml:space="preserve">enabling collaborative troubleshooting when issues are identified</w:t>
      </w:r>
      <w:r>
        <w:t xml:space="preserve"> </w:t>
      </w:r>
      <w:r>
        <w:t xml:space="preserve">within Microsoft's network.</w:t>
      </w:r>
    </w:p>
    <w:p>
      <w:pPr>
        <w:pStyle w:val="FirstParagraph"/>
      </w:pPr>
      <w:r>
        <w:t xml:space="preserve">Table 13 compares the network visibility tools available for</w:t>
      </w:r>
      <w:r>
        <w:t xml:space="preserve"> </w:t>
      </w:r>
      <w:r>
        <w:t xml:space="preserve">GCC-Moderate environments.</w:t>
      </w:r>
    </w:p>
    <w:p>
      <w:pPr>
        <w:pStyle w:val="BodyText"/>
      </w:pPr>
      <w:r>
        <w:rPr>
          <w:b/>
          <w:bCs/>
        </w:rPr>
        <w:t xml:space="preserve">Table 13: Network Visibility Tools for GCC-Moderate Environments</w:t>
      </w:r>
    </w:p>
    <w:tbl>
      <w:tblPr>
        <w:tblStyle w:val="Table"/>
        <w:tblW w:type="pct" w:w="4932"/>
        <w:tblLayout w:type="fixed"/>
        <w:tblLook w:firstRow="1" w:lastRow="0" w:firstColumn="0" w:lastColumn="0" w:noHBand="0" w:noVBand="0" w:val="0020"/>
      </w:tblPr>
      <w:tblGrid>
        <w:gridCol w:w="813"/>
        <w:gridCol w:w="1139"/>
        <w:gridCol w:w="1518"/>
        <w:gridCol w:w="922"/>
        <w:gridCol w:w="1247"/>
        <w:gridCol w:w="1247"/>
        <w:gridCol w:w="92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Tool /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FedRAMP 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Deployment Model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M365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Visibility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Network Path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Analysis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User Experience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Monitoring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GCC-Moderate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Compatible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ThousandEyes</w:t>
            </w:r>
            <w:r>
              <w:t xml:space="preserve"> </w:t>
            </w:r>
            <w:r>
              <w:t xml:space="preserve">for Government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(March 2026)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SaaS (AWS GovCloud) +</w:t>
            </w:r>
            <w:r>
              <w:t xml:space="preserve"> </w:t>
            </w:r>
            <w:r>
              <w:t xml:space="preserve">Enterprise Agents +</w:t>
            </w:r>
            <w:r>
              <w:t xml:space="preserve"> </w:t>
            </w:r>
            <w:r>
              <w:t xml:space="preserve">Endpoint Agents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—</w:t>
            </w:r>
            <w:r>
              <w:t xml:space="preserve"> </w:t>
            </w:r>
            <w:r>
              <w:t xml:space="preserve">synthetic</w:t>
            </w:r>
            <w:r>
              <w:t xml:space="preserve"> </w:t>
            </w:r>
            <w:r>
              <w:t xml:space="preserve">tests + RUM for</w:t>
            </w:r>
            <w:r>
              <w:t xml:space="preserve"> </w:t>
            </w:r>
            <w:r>
              <w:t xml:space="preserve">M365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 hop-by-hop</w:t>
            </w:r>
            <w:r>
              <w:t xml:space="preserve"> </w:t>
            </w:r>
            <w:r>
              <w:t xml:space="preserve">Layer 3 path analysis</w:t>
            </w:r>
            <w:r>
              <w:t xml:space="preserve"> </w:t>
            </w:r>
            <w:r>
              <w:t xml:space="preserve">with ASN 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 Endpoint Agent</w:t>
            </w:r>
            <w:r>
              <w:t xml:space="preserve"> </w:t>
            </w:r>
            <w:r>
              <w:t xml:space="preserve">captures real user</w:t>
            </w:r>
            <w:r>
              <w:t xml:space="preserve"> </w:t>
            </w:r>
            <w:r>
              <w:t xml:space="preserve">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 365</w:t>
            </w:r>
            <w:r>
              <w:t xml:space="preserve"> </w:t>
            </w:r>
            <w:r>
              <w:t xml:space="preserve">Service Health</w:t>
            </w:r>
            <w:r>
              <w:t xml:space="preserve"> </w:t>
            </w:r>
            <w:r>
              <w:t xml:space="preserve">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(part of M365 GCC)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Native M365 portal</w:t>
            </w:r>
            <w:r>
              <w:t xml:space="preserve"> </w:t>
            </w:r>
            <w:r>
              <w:t xml:space="preserve">(admin.microsoft.com)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Service-side</w:t>
            </w:r>
            <w:r>
              <w:t xml:space="preserve"> </w:t>
            </w:r>
            <w:r>
              <w:t xml:space="preserve">health status</w:t>
            </w:r>
            <w:r>
              <w:t xml:space="preserve"> </w:t>
            </w:r>
            <w:r>
              <w:t xml:space="preserve">and known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no client-side</w:t>
            </w:r>
            <w:r>
              <w:t xml:space="preserve"> </w:t>
            </w:r>
            <w:r>
              <w:t xml:space="preserve">or network path</w:t>
            </w:r>
            <w:r>
              <w:t xml:space="preserve"> </w:t>
            </w:r>
            <w:r>
              <w:t xml:space="preserve">visibility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service health</w:t>
            </w:r>
            <w:r>
              <w:t xml:space="preserve"> </w:t>
            </w:r>
            <w:r>
              <w:t xml:space="preserve">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Network</w:t>
            </w:r>
            <w:r>
              <w:t xml:space="preserve"> </w:t>
            </w:r>
            <w:r>
              <w:t xml:space="preserve">Connectivity</w:t>
            </w:r>
            <w:r>
              <w:t xml:space="preserve"> </w:t>
            </w:r>
            <w:r>
              <w:t xml:space="preserve">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(part of M365 GCC)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Web-based test tool</w:t>
            </w:r>
            <w:r>
              <w:t xml:space="preserve"> </w:t>
            </w:r>
            <w:r>
              <w:t xml:space="preserve">(connectivity.office.com)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Point-in-time</w:t>
            </w:r>
            <w:r>
              <w:t xml:space="preserve"> </w:t>
            </w:r>
            <w:r>
              <w:t xml:space="preserve">connectivity and</w:t>
            </w:r>
            <w:r>
              <w:t xml:space="preserve"> </w:t>
            </w:r>
            <w:r>
              <w:t xml:space="preserve">latency test to</w:t>
            </w:r>
            <w:r>
              <w:t xml:space="preserve"> </w:t>
            </w:r>
            <w:r>
              <w:t xml:space="preserve">nearest M365</w:t>
            </w:r>
            <w:r>
              <w:t xml:space="preserve"> </w:t>
            </w:r>
            <w:r>
              <w:t xml:space="preserve">service front</w:t>
            </w:r>
            <w:r>
              <w:t xml:space="preserve"> </w:t>
            </w:r>
            <w:r>
              <w:t xml:space="preserve">door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— basic</w:t>
            </w:r>
            <w:r>
              <w:t xml:space="preserve"> </w:t>
            </w:r>
            <w:r>
              <w:t xml:space="preserve">latency measurement,</w:t>
            </w:r>
            <w:r>
              <w:t xml:space="preserve"> </w:t>
            </w:r>
            <w:r>
              <w:t xml:space="preserve">no full path trace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 point-in-time</w:t>
            </w:r>
            <w:r>
              <w:t xml:space="preserve"> </w:t>
            </w:r>
            <w:r>
              <w:t xml:space="preserve">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Network</w:t>
            </w:r>
            <w:r>
              <w:t xml:space="preserve"> </w:t>
            </w:r>
            <w:r>
              <w:t xml:space="preserve">Watcher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(Azure Government)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PaaS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to</w:t>
            </w:r>
            <w:r>
              <w:t xml:space="preserve"> </w:t>
            </w:r>
            <w:r>
              <w:t xml:space="preserve">Azure-hosted</w:t>
            </w:r>
            <w:r>
              <w:t xml:space="preserve"> </w:t>
            </w:r>
            <w:r>
              <w:t xml:space="preserve">resources; not</w:t>
            </w:r>
            <w:r>
              <w:t xml:space="preserve"> </w:t>
            </w:r>
            <w:r>
              <w:t xml:space="preserve">M365 SaaS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 for Azure VNet</w:t>
            </w:r>
            <w:r>
              <w:t xml:space="preserve"> </w:t>
            </w:r>
            <w:r>
              <w:t xml:space="preserve">traffic; not for M365</w:t>
            </w:r>
            <w:r>
              <w:t xml:space="preserve"> </w:t>
            </w:r>
            <w:r>
              <w:t xml:space="preserve">SaaS paths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(Azure Gov)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Defender for</w:t>
            </w:r>
            <w:r>
              <w:t xml:space="preserve"> </w:t>
            </w:r>
            <w:r>
              <w:t xml:space="preserve">Cloud Apps</w:t>
            </w:r>
            <w:r>
              <w:t xml:space="preserve"> </w:t>
            </w:r>
            <w:r>
              <w:t xml:space="preserve">(MCAS)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(part of M365 GCC)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Native M365 SaaS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</w:t>
            </w:r>
            <w:r>
              <w:t xml:space="preserve"> </w:t>
            </w:r>
            <w:r>
              <w:t xml:space="preserve">usage analytics</w:t>
            </w:r>
            <w:r>
              <w:t xml:space="preserve"> </w:t>
            </w:r>
            <w:r>
              <w:t xml:space="preserve">and shadow IT</w:t>
            </w:r>
            <w:r>
              <w:t xml:space="preserve"> </w:t>
            </w:r>
            <w:r>
              <w:t xml:space="preserve">discovery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</w:t>
            </w:r>
            <w:r>
              <w:t xml:space="preserve"> </w:t>
            </w:r>
            <w:r>
              <w:t xml:space="preserve">application-layer</w:t>
            </w:r>
            <w:r>
              <w:t xml:space="preserve"> </w:t>
            </w:r>
            <w:r>
              <w:t xml:space="preserve">visibility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— user</w:t>
            </w:r>
            <w:r>
              <w:t xml:space="preserve"> </w:t>
            </w:r>
            <w:r>
              <w:t xml:space="preserve">activity analytics,</w:t>
            </w:r>
            <w:r>
              <w:t xml:space="preserve"> </w:t>
            </w:r>
            <w:r>
              <w:t xml:space="preserve">not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</w:t>
            </w:r>
            <w:r>
              <w:t xml:space="preserve"> </w:t>
            </w:r>
            <w:r>
              <w:t xml:space="preserve">Synthetic</w:t>
            </w:r>
            <w:r>
              <w:t xml:space="preserve"> </w:t>
            </w:r>
            <w:r>
              <w:t xml:space="preserve">Monitors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Depends on hosting</w:t>
            </w:r>
            <w:r>
              <w:t xml:space="preserve"> </w:t>
            </w:r>
            <w:r>
              <w:t xml:space="preserve">(must use</w:t>
            </w:r>
            <w:r>
              <w:t xml:space="preserve"> </w:t>
            </w:r>
            <w:r>
              <w:t xml:space="preserve">FedRAMP-authorized</w:t>
            </w:r>
            <w:r>
              <w:t xml:space="preserve"> </w:t>
            </w:r>
            <w:r>
              <w:t xml:space="preserve">infrastructure)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Self-hosted scripts on</w:t>
            </w:r>
            <w:r>
              <w:t xml:space="preserve"> </w:t>
            </w:r>
            <w:r>
              <w:t xml:space="preserve">managed 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—</w:t>
            </w:r>
            <w:r>
              <w:t xml:space="preserve"> </w:t>
            </w:r>
            <w:r>
              <w:t xml:space="preserve">depends on</w:t>
            </w:r>
            <w:r>
              <w:t xml:space="preserve"> </w:t>
            </w:r>
            <w:r>
              <w:t xml:space="preserve">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— basic</w:t>
            </w:r>
            <w:r>
              <w:t xml:space="preserve"> </w:t>
            </w:r>
            <w:r>
              <w:t xml:space="preserve">ping/traceroute/curl</w:t>
            </w:r>
            <w:r>
              <w:t xml:space="preserve"> </w:t>
            </w:r>
            <w:r>
              <w:t xml:space="preserve">tests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—</w:t>
            </w:r>
            <w:r>
              <w:t xml:space="preserve"> </w:t>
            </w:r>
            <w:r>
              <w:t xml:space="preserve">infrastructure-level</w:t>
            </w:r>
            <w:r>
              <w:t xml:space="preserve"> </w:t>
            </w:r>
            <w:r>
              <w:t xml:space="preserve">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—</w:t>
            </w:r>
            <w:r>
              <w:t xml:space="preserve"> </w:t>
            </w:r>
            <w:r>
              <w:t xml:space="preserve">must be hosted</w:t>
            </w:r>
            <w:r>
              <w:t xml:space="preserve"> </w:t>
            </w:r>
            <w:r>
              <w:t xml:space="preserve">on authorized</w:t>
            </w:r>
            <w:r>
              <w:t xml:space="preserve"> </w:t>
            </w:r>
            <w:r>
              <w:t xml:space="preserve">infrastructure</w:t>
            </w:r>
          </w:p>
        </w:tc>
      </w:tr>
    </w:tbl>
    <w:p>
      <w:pPr>
        <w:pStyle w:val="BodyText"/>
      </w:pPr>
      <w:r>
        <w:t xml:space="preserve">8.3 Boundary-Aware Monitoring Architecture</w:t>
      </w:r>
    </w:p>
    <w:p>
      <w:pPr>
        <w:pStyle w:val="BodyText"/>
      </w:pPr>
      <w:r>
        <w:t xml:space="preserve">The monitoring architecture for the UIAO's GCC-Moderate environment is</w:t>
      </w:r>
      <w:r>
        <w:t xml:space="preserve"> </w:t>
      </w:r>
      <w:r>
        <w:t xml:space="preserve">designed to maximize network visibility while respecting boundary</w:t>
      </w:r>
      <w:r>
        <w:t xml:space="preserve"> </w:t>
      </w:r>
      <w:r>
        <w:t xml:space="preserve">constraints. The architecture follows three principles: (1) all</w:t>
      </w:r>
      <w:r>
        <w:t xml:space="preserve"> </w:t>
      </w:r>
      <w:r>
        <w:t xml:space="preserve">monitoring data remains within FedRAMP-authorized boundaries, (2)</w:t>
      </w:r>
      <w:r>
        <w:t xml:space="preserve"> </w:t>
      </w:r>
      <w:r>
        <w:t xml:space="preserve">monitoring agents are deployed on managed devices and managed</w:t>
      </w:r>
      <w:r>
        <w:t xml:space="preserve"> </w:t>
      </w:r>
      <w:r>
        <w:t xml:space="preserve">infrastructure only, and (3) monitoring data is integrated with the</w:t>
      </w:r>
      <w:r>
        <w:t xml:space="preserve"> </w:t>
      </w:r>
      <w:r>
        <w:t xml:space="preserve">existing SIEM/SOAR platform for correlation with security events.</w:t>
      </w:r>
    </w:p>
    <w:p>
      <w:pPr>
        <w:pStyle w:val="BodyText"/>
      </w:pPr>
      <w:r>
        <w:rPr>
          <w:b/>
          <w:bCs/>
        </w:rPr>
        <w:t xml:space="preserve">Agent Placement Strategy:</w:t>
      </w:r>
      <w:r>
        <w:t xml:space="preserve"> </w:t>
      </w:r>
      <w:r>
        <w:t xml:space="preserve">ThousandEyes Enterprise Agents are</w:t>
      </w:r>
      <w:r>
        <w:t xml:space="preserve"> </w:t>
      </w:r>
      <w:r>
        <w:t xml:space="preserve">deployed at each major network egress point — headquarters, regional</w:t>
      </w:r>
      <w:r>
        <w:t xml:space="preserve"> </w:t>
      </w:r>
      <w:r>
        <w:t xml:space="preserve">offices, and the data center. Enterprise Agents run continuous synthetic</w:t>
      </w:r>
      <w:r>
        <w:t xml:space="preserve"> </w:t>
      </w:r>
      <w:r>
        <w:t xml:space="preserve">tests against M365 service URLs and provide fixed-vantage-point</w:t>
      </w:r>
      <w:r>
        <w:t xml:space="preserve"> </w:t>
      </w:r>
      <w:r>
        <w:t xml:space="preserve">baselines for latency, availability, and path stability. ThousandEyes</w:t>
      </w:r>
      <w:r>
        <w:t xml:space="preserve"> </w:t>
      </w:r>
      <w:r>
        <w:t xml:space="preserve">Endpoint Agents are deployed on managed employee devices (via Intune</w:t>
      </w:r>
      <w:r>
        <w:t xml:space="preserve"> </w:t>
      </w:r>
      <w:r>
        <w:t xml:space="preserve">application deployment) to capture real user experience data from the</w:t>
      </w:r>
      <w:r>
        <w:t xml:space="preserve"> </w:t>
      </w:r>
      <w:r>
        <w:t xml:space="preserve">user's actual network location — including remote workers on home</w:t>
      </w:r>
      <w:r>
        <w:t xml:space="preserve"> </w:t>
      </w:r>
      <w:r>
        <w:t xml:space="preserve">networks and mobile users on cellular connections.</w:t>
      </w:r>
    </w:p>
    <w:p>
      <w:pPr>
        <w:pStyle w:val="BodyText"/>
      </w:pPr>
      <w:r>
        <w:rPr>
          <w:b/>
          <w:bCs/>
        </w:rPr>
        <w:t xml:space="preserve">Synthetic Test Configuration:</w:t>
      </w:r>
      <w:r>
        <w:t xml:space="preserve"> </w:t>
      </w:r>
      <w:r>
        <w:t xml:space="preserve">Synthetic tests are configured for</w:t>
      </w:r>
      <w:r>
        <w:t xml:space="preserve"> </w:t>
      </w:r>
      <w:r>
        <w:t xml:space="preserve">critical M365 endpoints: Exchange Online (outlook.office365.com),</w:t>
      </w:r>
      <w:r>
        <w:t xml:space="preserve"> </w:t>
      </w:r>
      <w:r>
        <w:t xml:space="preserve">SharePoint Online (agency.sharepoint.com), Teams (teams.microsoft.com),</w:t>
      </w:r>
      <w:r>
        <w:t xml:space="preserve"> </w:t>
      </w:r>
      <w:r>
        <w:t xml:space="preserve">and the Entra ID authentication endpoint (login.microsoftonline.com).</w:t>
      </w:r>
      <w:r>
        <w:t xml:space="preserve"> </w:t>
      </w:r>
      <w:r>
        <w:t xml:space="preserve">Tests run at 5-minute intervals from Enterprise Agents and capture DNS</w:t>
      </w:r>
      <w:r>
        <w:t xml:space="preserve"> </w:t>
      </w:r>
      <w:r>
        <w:t xml:space="preserve">resolution time, TCP connect time, SSL handshake time, HTTP response</w:t>
      </w:r>
      <w:r>
        <w:t xml:space="preserve"> </w:t>
      </w:r>
      <w:r>
        <w:t xml:space="preserve">time, and full page load time. Alerting thresholds are defined based on</w:t>
      </w:r>
      <w:r>
        <w:t xml:space="preserve"> </w:t>
      </w:r>
      <w:r>
        <w:t xml:space="preserve">baseline performance data collected during the first 30 days of</w:t>
      </w:r>
      <w:r>
        <w:t xml:space="preserve"> </w:t>
      </w:r>
      <w:r>
        <w:t xml:space="preserve">monitoring.</w:t>
      </w:r>
    </w:p>
    <w:p>
      <w:pPr>
        <w:pStyle w:val="BodyText"/>
      </w:pPr>
      <w:r>
        <w:rPr>
          <w:b/>
          <w:bCs/>
        </w:rPr>
        <w:t xml:space="preserve">SIEM Integration:</w:t>
      </w:r>
      <w:r>
        <w:t xml:space="preserve"> </w:t>
      </w:r>
      <w:r>
        <w:t xml:space="preserve">ThousandEyes for Government supports data export</w:t>
      </w:r>
      <w:r>
        <w:t xml:space="preserve"> </w:t>
      </w:r>
      <w:r>
        <w:t xml:space="preserve">via webhooks and REST API. Network performance alerts and path change</w:t>
      </w:r>
      <w:r>
        <w:t xml:space="preserve"> </w:t>
      </w:r>
      <w:r>
        <w:t xml:space="preserve">notifications are forwarded to the UIAO's SIEM platform for correlation</w:t>
      </w:r>
      <w:r>
        <w:t xml:space="preserve"> </w:t>
      </w:r>
      <w:r>
        <w:t xml:space="preserve">with security events. A network performance degradation alert that</w:t>
      </w:r>
      <w:r>
        <w:t xml:space="preserve"> </w:t>
      </w:r>
      <w:r>
        <w:t xml:space="preserve">coincides with a Conditional Access policy change or a ScubaGear finding</w:t>
      </w:r>
      <w:r>
        <w:t xml:space="preserve"> </w:t>
      </w:r>
      <w:r>
        <w:t xml:space="preserve">may indicate a causal relationship that requires joint investigation by</w:t>
      </w:r>
      <w:r>
        <w:t xml:space="preserve"> </w:t>
      </w:r>
      <w:r>
        <w:t xml:space="preserve">the Network and Security teams.</w:t>
      </w:r>
    </w:p>
    <w:p>
      <w:pPr>
        <w:pStyle w:val="BodyText"/>
      </w:pPr>
      <w:r>
        <w:rPr>
          <w:b/>
          <w:bCs/>
        </w:rPr>
        <w:t xml:space="preserve">Escalation Workflow:</w:t>
      </w:r>
      <w:r>
        <w:t xml:space="preserve"> </w:t>
      </w:r>
      <w:r>
        <w:t xml:space="preserve">When ThousandEyes detects sustained performance</w:t>
      </w:r>
      <w:r>
        <w:t xml:space="preserve"> </w:t>
      </w:r>
      <w:r>
        <w:t xml:space="preserve">degradation (latency increase &gt; 50% above baseline for &gt; 15 minutes)</w:t>
      </w:r>
      <w:r>
        <w:t xml:space="preserve"> </w:t>
      </w:r>
      <w:r>
        <w:t xml:space="preserve">or path changes that route traffic through unexpected ASNs, an automated</w:t>
      </w:r>
      <w:r>
        <w:t xml:space="preserve"> </w:t>
      </w:r>
      <w:r>
        <w:t xml:space="preserve">alert triggers the network operations escalation workflow. If the issue</w:t>
      </w:r>
      <w:r>
        <w:t xml:space="preserve"> </w:t>
      </w:r>
      <w:r>
        <w:t xml:space="preserve">is localized to the organization's network, the Network Team</w:t>
      </w:r>
      <w:r>
        <w:t xml:space="preserve"> </w:t>
      </w:r>
      <w:r>
        <w:t xml:space="preserve">remediates. If the issue is within Microsoft's network, the</w:t>
      </w:r>
      <w:r>
        <w:t xml:space="preserve"> </w:t>
      </w:r>
      <w:r>
        <w:t xml:space="preserve">ThousandEyes data-sharing capability is used to open a collaborative</w:t>
      </w:r>
      <w:r>
        <w:t xml:space="preserve"> </w:t>
      </w:r>
      <w:r>
        <w:t xml:space="preserve">troubleshooting session with Microsoft support.</w:t>
      </w:r>
    </w:p>
    <w:p>
      <w:pPr>
        <w:pStyle w:val="BodyText"/>
      </w:pPr>
      <w:r>
        <w:t xml:space="preserve">+———————————+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Figure 2.5 — Diagram 6: GCC-Moderate Network Visibility Architecture** Dimensions: 6" title="" id="85" name="Picture"/>
            <a:graphic>
              <a:graphicData uri="http://schemas.openxmlformats.org/drawingml/2006/picture">
                <pic:pic>
                  <pic:nvPicPr>
                    <pic:cNvPr descr="images/02-05-diagram-6-gcc-moderate-network-visibility-architecture-dimen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{fig-alt=</w:t>
      </w:r>
      <w:r>
        <w:t xml:space="preserve">“Left Side”</w:t>
      </w:r>
      <w:r>
        <w:t xml:space="preserve">User Locations”:** Three location icons arranged vertically: (1)</w:t>
      </w:r>
      <w:r>
        <w:t xml:space="preserve"> </w:t>
      </w:r>
      <w:r>
        <w:t xml:space="preserve">“HQ Office”</w:t>
      </w:r>
      <w:r>
        <w:t xml:space="preserve"> </w:t>
      </w:r>
      <w:r>
        <w:t xml:space="preserve">with a building icon and two sub-icons:</w:t>
      </w:r>
      <w:r>
        <w:t xml:space="preserve"> </w:t>
      </w:r>
      <w:r>
        <w:t xml:space="preserve">“Enterprise Agent”</w:t>
      </w:r>
      <w:r>
        <w:t xml:space="preserve"> </w:t>
      </w:r>
      <w:r>
        <w:t xml:space="preserve">(server) and</w:t>
      </w:r>
      <w:r>
        <w:t xml:space="preserve"> </w:t>
      </w:r>
      <w:r>
        <w:t xml:space="preserve">“Endpoint Agents on Managed Devices”</w:t>
      </w:r>
      <w:r>
        <w:t xml:space="preserve"> </w:t>
      </w:r>
      <w:r>
        <w:t xml:space="preserve">(laptops).” width=</w:t>
      </w:r>
      <w:r>
        <w:t xml:space="preserve">“720”</w:t>
      </w:r>
      <w:r>
        <w:t xml:space="preserve">}</w:t>
      </w:r>
    </w:p>
    <w:p>
      <w:pPr>
        <w:pStyle w:val="BodyText"/>
      </w:pPr>
      <w:r>
        <w:rPr>
          <w:b/>
          <w:bCs/>
        </w:rPr>
        <w:t xml:space="preserve">Visual Style:</w:t>
      </w:r>
      <w:r>
        <w:t xml:space="preserve"> </w:t>
      </w:r>
      <w:r>
        <w:t xml:space="preserve">White |</w:t>
      </w:r>
      <w:r>
        <w:br/>
      </w:r>
      <w:r>
        <w:t xml:space="preserve">background. Blue (#2b5797) for |</w:t>
      </w:r>
      <w:r>
        <w:br/>
      </w:r>
      <w:r>
        <w:t xml:space="preserve">ThousandEyes components. Green |</w:t>
      </w:r>
      <w:r>
        <w:br/>
      </w:r>
      <w:r>
        <w:t xml:space="preserve">(#2e7d32) for M365 boundary. |</w:t>
      </w:r>
      <w:r>
        <w:br/>
      </w:r>
      <w:r>
        <w:t xml:space="preserve">Orange (#cc7a00) for alert |</w:t>
      </w:r>
      <w:r>
        <w:br/>
      </w:r>
      <w:r>
        <w:t xml:space="preserve">paths. Gray for network |</w:t>
      </w:r>
      <w:r>
        <w:br/>
      </w:r>
      <w:r>
        <w:t xml:space="preserve">infrastructure. Dashed lines |</w:t>
      </w:r>
      <w:r>
        <w:br/>
      </w:r>
      <w:r>
        <w:t xml:space="preserve">for the GCC-Moderate boundary. |</w:t>
      </w:r>
      <w:r>
        <w:br/>
      </w:r>
      <w:r>
        <w:t xml:space="preserve">Solid lines for data flows. |</w:t>
      </w:r>
    </w:p>
    <w:p>
      <w:pPr>
        <w:pStyle w:val="BodyText"/>
      </w:pPr>
      <w:r>
        <w:t xml:space="preserve">+———————————+</w:t>
      </w:r>
    </w:p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bookmarkEnd w:id="87"/>
    <w:bookmarkStart w:id="91" w:name="Xdfb09d89968a415c741ba5dde10028707fea5df"/>
    <w:p>
      <w:pPr>
        <w:pStyle w:val="Heading2"/>
      </w:pPr>
      <w:r>
        <w:t xml:space="preserve">Appendix C — Wave 0–7 Hybrid-Safe Modernization Sequencing (Restored Detail)</w:t>
      </w:r>
    </w:p>
    <w:p>
      <w:pPr>
        <w:pStyle w:val="BlockText"/>
      </w:pPr>
      <w:r>
        <w:rPr>
          <w:b/>
          <w:bCs/>
        </w:rPr>
        <w:t xml:space="preserve">Why this appendix exists.</w:t>
      </w:r>
      <w:r>
        <w:t xml:space="preserve"> </w:t>
      </w:r>
      <w:r>
        <w:t xml:space="preserve">The §2 nine-step deterministic sequence</w:t>
      </w:r>
      <w:r>
        <w:t xml:space="preserve"> </w:t>
      </w:r>
      <w:r>
        <w:t xml:space="preserve">is the authoritative Phase 1 sequencing plan. The original Phase 1 v1.0</w:t>
      </w:r>
      <w:r>
        <w:t xml:space="preserve"> </w:t>
      </w:r>
      <w:r>
        <w:t xml:space="preserve">document carried a complementary</w:t>
      </w:r>
      <w:r>
        <w:t xml:space="preserve"> </w:t>
      </w:r>
      <w:r>
        <w:rPr>
          <w:b/>
          <w:bCs/>
        </w:rPr>
        <w:t xml:space="preserve">Wave 0–7</w:t>
      </w:r>
      <w:r>
        <w:t xml:space="preserve"> </w:t>
      </w:r>
      <w:r>
        <w:t xml:space="preserve">narrative that maps the</w:t>
      </w:r>
      <w:r>
        <w:t xml:space="preserve"> </w:t>
      </w:r>
      <w:r>
        <w:t xml:space="preserve">nine deterministic steps onto an 8-wave timeline with rollback windows,</w:t>
      </w:r>
      <w:r>
        <w:t xml:space="preserve"> </w:t>
      </w:r>
      <w:r>
        <w:t xml:space="preserve">validation criteria, and durations per wave. That narrative is preserved</w:t>
      </w:r>
      <w:r>
        <w:t xml:space="preserve"> </w:t>
      </w:r>
      <w:r>
        <w:t xml:space="preserve">here for AO/3PAO review and historical comparison. Where Appendix C and</w:t>
      </w:r>
      <w:r>
        <w:t xml:space="preserve"> </w:t>
      </w:r>
      <w:r>
        <w:t xml:space="preserve">the §2 table diverge, the §2 table is authoritative.</w:t>
      </w:r>
    </w:p>
    <w:p>
      <w:pPr>
        <w:pStyle w:val="FirstParagraph"/>
      </w:pPr>
      <w:r>
        <w:t xml:space="preserve">Section 9 — Hybrid-Safe Modernization Sequencing</w:t>
      </w:r>
    </w:p>
    <w:p>
      <w:pPr>
        <w:pStyle w:val="BodyText"/>
      </w:pPr>
      <w:r>
        <w:t xml:space="preserve">Modernization is not a parallel effort where all workstreams execute</w:t>
      </w:r>
      <w:r>
        <w:t xml:space="preserve"> </w:t>
      </w:r>
      <w:r>
        <w:t xml:space="preserve">simultaneously — it is a sequenced, dependency-aware progression where</w:t>
      </w:r>
      <w:r>
        <w:t xml:space="preserve"> </w:t>
      </w:r>
      <w:r>
        <w:t xml:space="preserve">each wave establishes the prerequisites for subsequent waves. This</w:t>
      </w:r>
      <w:r>
        <w:t xml:space="preserve"> </w:t>
      </w:r>
      <w:r>
        <w:t xml:space="preserve">section defines the sequencing principles, the wave sequence with</w:t>
      </w:r>
      <w:r>
        <w:t xml:space="preserve"> </w:t>
      </w:r>
      <w:r>
        <w:t xml:space="preserve">detailed prerequisites and validation criteria, and the critical-path</w:t>
      </w:r>
      <w:r>
        <w:t xml:space="preserve"> </w:t>
      </w:r>
      <w:r>
        <w:t xml:space="preserve">dependency chain that governs advancement through the program.</w:t>
      </w:r>
    </w:p>
    <w:p>
      <w:pPr>
        <w:pStyle w:val="BodyText"/>
      </w:pPr>
      <w:r>
        <w:t xml:space="preserve">9.1 Sequencing Principles</w:t>
      </w:r>
    </w:p>
    <w:p>
      <w:pPr>
        <w:pStyle w:val="BodyText"/>
      </w:pPr>
      <w:r>
        <w:t xml:space="preserve">Five principles govern the modernization sequence. These principles are</w:t>
      </w:r>
      <w:r>
        <w:t xml:space="preserve"> </w:t>
      </w:r>
      <w:r>
        <w:t xml:space="preserve">non-negotiable — violation of any principle requires CISO and AO</w:t>
      </w:r>
      <w:r>
        <w:t xml:space="preserve"> </w:t>
      </w:r>
      <w:r>
        <w:t xml:space="preserve">approval and must be documented as a risk acceptance.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Never Break Authentication:</w:t>
      </w:r>
      <w:r>
        <w:t xml:space="preserve"> </w:t>
      </w:r>
      <w:r>
        <w:t xml:space="preserve">Identity synchronization (Entra</w:t>
      </w:r>
      <w:r>
        <w:t xml:space="preserve"> </w:t>
      </w:r>
      <w:r>
        <w:t xml:space="preserve">Connect Sync or Cloud Sync) must be fully operational and validated</w:t>
      </w:r>
      <w:r>
        <w:t xml:space="preserve"> </w:t>
      </w:r>
      <w:r>
        <w:t xml:space="preserve">before any device migration begins. If a device is Entra Joined but</w:t>
      </w:r>
      <w:r>
        <w:t xml:space="preserve"> </w:t>
      </w:r>
      <w:r>
        <w:t xml:space="preserve">the user's identity is not properly synced to Entra ID, the user</w:t>
      </w:r>
      <w:r>
        <w:t xml:space="preserve"> </w:t>
      </w:r>
      <w:r>
        <w:t xml:space="preserve">cannot authenticate. Authentication is the single most critical</w:t>
      </w:r>
      <w:r>
        <w:t xml:space="preserve"> </w:t>
      </w:r>
      <w:r>
        <w:t xml:space="preserve">dependency in the entire modernization chain.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Policy Parity Before Cutover:</w:t>
      </w:r>
      <w:r>
        <w:t xml:space="preserve"> </w:t>
      </w:r>
      <w:r>
        <w:t xml:space="preserve">Intune policies must achieve</w:t>
      </w:r>
      <w:r>
        <w:t xml:space="preserve"> </w:t>
      </w:r>
      <w:r>
        <w:t xml:space="preserve">functional parity with the GPO settings they replace before Group</w:t>
      </w:r>
      <w:r>
        <w:t xml:space="preserve"> </w:t>
      </w:r>
      <w:r>
        <w:t xml:space="preserve">Policy processing is disabled on any device. "Functional parity"</w:t>
      </w:r>
      <w:r>
        <w:t xml:space="preserve"> </w:t>
      </w:r>
      <w:r>
        <w:t xml:space="preserve">does not mean 1:1 identical settings — it means the security and</w:t>
      </w:r>
      <w:r>
        <w:t xml:space="preserve"> </w:t>
      </w:r>
      <w:r>
        <w:t xml:space="preserve">operational outcomes are equivalent. If a GPO enforces a minimum</w:t>
      </w:r>
      <w:r>
        <w:t xml:space="preserve"> </w:t>
      </w:r>
      <w:r>
        <w:t xml:space="preserve">password length of 14 characters and the Intune policy enforces the</w:t>
      </w:r>
      <w:r>
        <w:t xml:space="preserve"> </w:t>
      </w:r>
      <w:r>
        <w:t xml:space="preserve">same, that is parity. If the Intune policy also adds complexity</w:t>
      </w:r>
      <w:r>
        <w:t xml:space="preserve"> </w:t>
      </w:r>
      <w:r>
        <w:t xml:space="preserve">requirements that the GPO did not have, that is acceptable</w:t>
      </w:r>
      <w:r>
        <w:t xml:space="preserve"> </w:t>
      </w:r>
      <w:r>
        <w:t xml:space="preserve">enhancement.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Compliance Continuity:</w:t>
      </w:r>
      <w:r>
        <w:t xml:space="preserve"> </w:t>
      </w:r>
      <w:r>
        <w:t xml:space="preserve">Devices must never exist in an ungoverned</w:t>
      </w:r>
      <w:r>
        <w:t xml:space="preserve"> </w:t>
      </w:r>
      <w:r>
        <w:t xml:space="preserve">state. Before any device is enrolled in Intune (for clients) or</w:t>
      </w:r>
      <w:r>
        <w:t xml:space="preserve"> </w:t>
      </w:r>
      <w:r>
        <w:t xml:space="preserve">Azure Arc (for servers), the compliance policies, configuration</w:t>
      </w:r>
      <w:r>
        <w:t xml:space="preserve"> </w:t>
      </w:r>
      <w:r>
        <w:t xml:space="preserve">profiles, and security baselines that will govern it must be</w:t>
      </w:r>
      <w:r>
        <w:t xml:space="preserve"> </w:t>
      </w:r>
      <w:r>
        <w:t xml:space="preserve">created, tested, and assigned to the target device group. A device</w:t>
      </w:r>
      <w:r>
        <w:t xml:space="preserve"> </w:t>
      </w:r>
      <w:r>
        <w:t xml:space="preserve">that enrolls into Intune with no assigned compliance policy is an</w:t>
      </w:r>
      <w:r>
        <w:t xml:space="preserve"> </w:t>
      </w:r>
      <w:r>
        <w:t xml:space="preserve">ungoverned device — it will be reported as "compliant" by</w:t>
      </w:r>
      <w:r>
        <w:t xml:space="preserve"> </w:t>
      </w:r>
      <w:r>
        <w:t xml:space="preserve">default, creating a false positive in the compliance posture.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Reversibility Windows:</w:t>
      </w:r>
      <w:r>
        <w:t xml:space="preserve"> </w:t>
      </w:r>
      <w:r>
        <w:t xml:space="preserve">Each migration wave includes a documented</w:t>
      </w:r>
      <w:r>
        <w:t xml:space="preserve"> </w:t>
      </w:r>
      <w:r>
        <w:t xml:space="preserve">rollback procedure with a defined rollback window. During the</w:t>
      </w:r>
      <w:r>
        <w:t xml:space="preserve"> </w:t>
      </w:r>
      <w:r>
        <w:t xml:space="preserve">rollback window (typically 5 business days after wave completion),</w:t>
      </w:r>
      <w:r>
        <w:t xml:space="preserve"> </w:t>
      </w:r>
      <w:r>
        <w:t xml:space="preserve">the migration can be reversed if critical issues are discovered.</w:t>
      </w:r>
      <w:r>
        <w:t xml:space="preserve"> </w:t>
      </w:r>
      <w:r>
        <w:t xml:space="preserve">After the rollback window closes, reversal requires a new change</w:t>
      </w:r>
      <w:r>
        <w:t xml:space="preserve"> </w:t>
      </w:r>
      <w:r>
        <w:t xml:space="preserve">control request and is treated as a new migration activity.</w:t>
      </w:r>
    </w:p>
    <w:p>
      <w:pPr>
        <w:numPr>
          <w:ilvl w:val="0"/>
          <w:numId w:val="1015"/>
        </w:numPr>
      </w:pPr>
      <w:r>
        <w:rPr>
          <w:b/>
          <w:bCs/>
        </w:rPr>
        <w:t xml:space="preserve">Evidence-Based Advancement:</w:t>
      </w:r>
      <w:r>
        <w:t xml:space="preserve"> </w:t>
      </w:r>
      <w:r>
        <w:t xml:space="preserve">Advancement from one wave to the</w:t>
      </w:r>
      <w:r>
        <w:t xml:space="preserve"> </w:t>
      </w:r>
      <w:r>
        <w:t xml:space="preserve">next requires documented evidence that all validation criteria for</w:t>
      </w:r>
      <w:r>
        <w:t xml:space="preserve"> </w:t>
      </w:r>
      <w:r>
        <w:t xml:space="preserve">the current wave have been met. Validation evidence is reviewed by</w:t>
      </w:r>
      <w:r>
        <w:t xml:space="preserve"> </w:t>
      </w:r>
      <w:r>
        <w:t xml:space="preserve">the ISSO and approved by the AO before wave advancement. No wave</w:t>
      </w:r>
      <w:r>
        <w:t xml:space="preserve"> </w:t>
      </w:r>
      <w:r>
        <w:t xml:space="preserve">begins without formal approval.</w:t>
      </w:r>
    </w:p>
    <w:p>
      <w:pPr>
        <w:pStyle w:val="FirstParagraph"/>
      </w:pPr>
      <w:r>
        <w:t xml:space="preserve">9.2 Modernization Wave Sequence</w:t>
      </w:r>
    </w:p>
    <w:p>
      <w:pPr>
        <w:pStyle w:val="BodyText"/>
      </w:pPr>
      <w:r>
        <w:t xml:space="preserve">Table 14 defines the eight modernization waves, from foundation</w:t>
      </w:r>
      <w:r>
        <w:t xml:space="preserve"> </w:t>
      </w:r>
      <w:r>
        <w:t xml:space="preserve">activities through legacy decommission. Each wave includes scope,</w:t>
      </w:r>
      <w:r>
        <w:t xml:space="preserve"> </w:t>
      </w:r>
      <w:r>
        <w:t xml:space="preserve">prerequisites, key activities, validation criteria, estimated duration,</w:t>
      </w:r>
      <w:r>
        <w:t xml:space="preserve"> </w:t>
      </w:r>
      <w:r>
        <w:t xml:space="preserve">and rollback procedures.</w:t>
      </w:r>
    </w:p>
    <w:p>
      <w:pPr>
        <w:pStyle w:val="BodyText"/>
      </w:pPr>
      <w:r>
        <w:rPr>
          <w:b/>
          <w:bCs/>
        </w:rPr>
        <w:t xml:space="preserve">Table 14: Modernization Wave Sequence</w:t>
      </w:r>
    </w:p>
    <w:tbl>
      <w:tblPr>
        <w:tblStyle w:val="Table"/>
        <w:tblW w:type="pct" w:w="4935"/>
        <w:tblLayout w:type="fixed"/>
        <w:tblLook w:firstRow="1" w:lastRow="0" w:firstColumn="0" w:lastColumn="0" w:noHBand="0" w:noVBand="0" w:val="0020"/>
      </w:tblPr>
      <w:tblGrid>
        <w:gridCol w:w="562"/>
        <w:gridCol w:w="1073"/>
        <w:gridCol w:w="919"/>
        <w:gridCol w:w="1021"/>
        <w:gridCol w:w="1124"/>
        <w:gridCol w:w="1328"/>
        <w:gridCol w:w="664"/>
        <w:gridCol w:w="112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Wave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Wave 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Validation Criteria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Duration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(Est.)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Rollback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Procedure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</w:t>
            </w:r>
            <w:r>
              <w:t xml:space="preserve"> </w:t>
            </w:r>
            <w:r>
              <w:t xml:space="preserve">infrastructure,</w:t>
            </w:r>
            <w:r>
              <w:t xml:space="preserve"> </w:t>
            </w:r>
            <w:r>
              <w:t xml:space="preserve">OrgPath</w:t>
            </w:r>
            <w:r>
              <w:t xml:space="preserve"> </w:t>
            </w:r>
            <w:r>
              <w:t xml:space="preserve">deployment,</w:t>
            </w:r>
            <w:r>
              <w:t xml:space="preserve"> </w:t>
            </w:r>
            <w:r>
              <w:t xml:space="preserve">baseline 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tenant</w:t>
            </w:r>
            <w:r>
              <w:t xml:space="preserve"> </w:t>
            </w:r>
            <w:r>
              <w:t xml:space="preserve">provisioned; M365</w:t>
            </w:r>
            <w:r>
              <w:t xml:space="preserve"> </w:t>
            </w:r>
            <w:r>
              <w:t xml:space="preserve">licenses assigned;</w:t>
            </w:r>
            <w:r>
              <w:t xml:space="preserve"> </w:t>
            </w:r>
            <w:r>
              <w:t xml:space="preserve">administrative</w:t>
            </w:r>
            <w:r>
              <w:t xml:space="preserve"> </w:t>
            </w:r>
            <w:r>
              <w:t xml:space="preserve">access confirmed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Upgrade Entra Connect</w:t>
            </w:r>
            <w:r>
              <w:t xml:space="preserve"> </w:t>
            </w:r>
            <w:r>
              <w:t xml:space="preserve">Sync to minimum</w:t>
            </w:r>
            <w:r>
              <w:t xml:space="preserve"> </w:t>
            </w:r>
            <w:r>
              <w:t xml:space="preserve">version; deploy Cloud</w:t>
            </w:r>
            <w:r>
              <w:t xml:space="preserve"> </w:t>
            </w:r>
            <w:r>
              <w:t xml:space="preserve">Sync agents</w:t>
            </w:r>
            <w:r>
              <w:t xml:space="preserve"> </w:t>
            </w:r>
            <w:r>
              <w:t xml:space="preserve">(parallel); populate</w:t>
            </w:r>
            <w:r>
              <w:t xml:space="preserve"> </w:t>
            </w:r>
            <w:r>
              <w:t xml:space="preserve">extensionAttribute1</w:t>
            </w:r>
            <w:r>
              <w:t xml:space="preserve"> </w:t>
            </w:r>
            <w:r>
              <w:t xml:space="preserve">(OrgPath) on all AD</w:t>
            </w:r>
            <w:r>
              <w:t xml:space="preserve"> </w:t>
            </w:r>
            <w:r>
              <w:t xml:space="preserve">user and computer</w:t>
            </w:r>
            <w:r>
              <w:t xml:space="preserve"> </w:t>
            </w:r>
            <w:r>
              <w:t xml:space="preserve">objects; execute</w:t>
            </w:r>
            <w:r>
              <w:t xml:space="preserve"> </w:t>
            </w:r>
            <w:r>
              <w:t xml:space="preserve">initial ScubaGear</w:t>
            </w:r>
            <w:r>
              <w:t xml:space="preserve"> </w:t>
            </w:r>
            <w:r>
              <w:t xml:space="preserve">baseline 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 agents</w:t>
            </w:r>
            <w:r>
              <w:t xml:space="preserve"> </w:t>
            </w:r>
            <w:r>
              <w:t xml:space="preserve">healthy; OrgPath</w:t>
            </w:r>
            <w:r>
              <w:t xml:space="preserve"> </w:t>
            </w:r>
            <w:r>
              <w:t xml:space="preserve">populated on ≥95% of</w:t>
            </w:r>
            <w:r>
              <w:t xml:space="preserve"> </w:t>
            </w:r>
            <w:r>
              <w:t xml:space="preserve">objects; ScubaGear scan</w:t>
            </w:r>
            <w:r>
              <w:t xml:space="preserve"> </w:t>
            </w:r>
            <w:r>
              <w:t xml:space="preserve">completes without 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4–6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Revert to Connect</w:t>
            </w:r>
            <w:r>
              <w:t xml:space="preserve"> </w:t>
            </w:r>
            <w:r>
              <w:t xml:space="preserve">Sync only; clear</w:t>
            </w:r>
            <w:r>
              <w:t xml:space="preserve"> </w:t>
            </w:r>
            <w:r>
              <w:t xml:space="preserve">extensionAttribute1</w:t>
            </w:r>
            <w:r>
              <w:t xml:space="preserve"> </w:t>
            </w:r>
            <w:r>
              <w:t xml:space="preserve">values if causing</w:t>
            </w:r>
            <w:r>
              <w:t xml:space="preserve"> </w:t>
            </w:r>
            <w:r>
              <w:t xml:space="preserve">issues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Parity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constructs —</w:t>
            </w:r>
            <w:r>
              <w:t xml:space="preserve"> </w:t>
            </w:r>
            <w:r>
              <w:t xml:space="preserve">AUs, dynamic</w:t>
            </w:r>
            <w:r>
              <w:t xml:space="preserve"> </w:t>
            </w:r>
            <w:r>
              <w:t xml:space="preserve">groups, CA</w:t>
            </w:r>
            <w:r>
              <w:t xml:space="preserve"> </w:t>
            </w:r>
            <w:r>
              <w:t xml:space="preserve">policies, access</w:t>
            </w:r>
            <w:r>
              <w:t xml:space="preserve"> </w:t>
            </w:r>
            <w:r>
              <w:t xml:space="preserve">packages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0 complete;</w:t>
            </w:r>
            <w:r>
              <w:t xml:space="preserve"> </w:t>
            </w:r>
            <w:r>
              <w:t xml:space="preserve">OrgPath validated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Administrative</w:t>
            </w:r>
            <w:r>
              <w:t xml:space="preserve"> </w:t>
            </w:r>
            <w:r>
              <w:t xml:space="preserve">Units aligned to</w:t>
            </w:r>
            <w:r>
              <w:t xml:space="preserve"> </w:t>
            </w:r>
            <w:r>
              <w:t xml:space="preserve">OrgPath prefixes;</w:t>
            </w:r>
            <w:r>
              <w:t xml:space="preserve"> </w:t>
            </w:r>
            <w:r>
              <w:t xml:space="preserve">create dynamic</w:t>
            </w:r>
            <w:r>
              <w:t xml:space="preserve"> </w:t>
            </w:r>
            <w:r>
              <w:t xml:space="preserve">security groups with</w:t>
            </w:r>
            <w:r>
              <w:t xml:space="preserve"> </w:t>
            </w:r>
            <w:r>
              <w:t xml:space="preserve">OrgPath membership</w:t>
            </w:r>
            <w:r>
              <w:t xml:space="preserve"> </w:t>
            </w:r>
            <w:r>
              <w:t xml:space="preserve">rules; deploy</w:t>
            </w:r>
            <w:r>
              <w:t xml:space="preserve"> </w:t>
            </w:r>
            <w:r>
              <w:t xml:space="preserve">Conditional Access</w:t>
            </w:r>
            <w:r>
              <w:t xml:space="preserve"> </w:t>
            </w:r>
            <w:r>
              <w:t xml:space="preserve">policies (report-only</w:t>
            </w:r>
            <w:r>
              <w:t xml:space="preserve"> </w:t>
            </w:r>
            <w:r>
              <w:t xml:space="preserve">mode); configure</w:t>
            </w:r>
            <w:r>
              <w:t xml:space="preserve"> </w:t>
            </w:r>
            <w:r>
              <w:t xml:space="preserve">Entitlement</w:t>
            </w:r>
            <w:r>
              <w:t xml:space="preserve"> </w:t>
            </w:r>
            <w:r>
              <w:t xml:space="preserve">Management access</w:t>
            </w:r>
            <w:r>
              <w:t xml:space="preserve"> </w:t>
            </w:r>
            <w:r>
              <w:t xml:space="preserve">packages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AUs populated</w:t>
            </w:r>
            <w:r>
              <w:t xml:space="preserve"> </w:t>
            </w:r>
            <w:r>
              <w:t xml:space="preserve">correctly; dynamic group</w:t>
            </w:r>
            <w:r>
              <w:t xml:space="preserve"> </w:t>
            </w:r>
            <w:r>
              <w:t xml:space="preserve">memberships match</w:t>
            </w:r>
            <w:r>
              <w:t xml:space="preserve"> </w:t>
            </w:r>
            <w:r>
              <w:t xml:space="preserve">expected counts (±2%); CA</w:t>
            </w:r>
            <w:r>
              <w:t xml:space="preserve"> </w:t>
            </w:r>
            <w:r>
              <w:t xml:space="preserve">policies in report-only</w:t>
            </w:r>
            <w:r>
              <w:t xml:space="preserve"> </w:t>
            </w:r>
            <w:r>
              <w:t xml:space="preserve">show expected behavior;</w:t>
            </w:r>
            <w:r>
              <w:t xml:space="preserve"> </w:t>
            </w:r>
            <w:r>
              <w:t xml:space="preserve">access packages tested</w:t>
            </w:r>
            <w:r>
              <w:t xml:space="preserve"> </w:t>
            </w:r>
            <w:r>
              <w:t xml:space="preserve">with pilot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6–8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 AUs and</w:t>
            </w:r>
            <w:r>
              <w:t xml:space="preserve"> </w:t>
            </w:r>
            <w:r>
              <w:t xml:space="preserve">dynamic groups;</w:t>
            </w:r>
            <w:r>
              <w:t xml:space="preserve"> </w:t>
            </w:r>
            <w:r>
              <w:t xml:space="preserve">disable CA policies;</w:t>
            </w:r>
            <w:r>
              <w:t xml:space="preserve"> </w:t>
            </w:r>
            <w:r>
              <w:t xml:space="preserve">remove access</w:t>
            </w:r>
            <w:r>
              <w:t xml:space="preserve"> </w:t>
            </w:r>
            <w:r>
              <w:t xml:space="preserve">packages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Translation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 analysis,</w:t>
            </w:r>
            <w:r>
              <w:t xml:space="preserve"> </w:t>
            </w:r>
            <w:r>
              <w:t xml:space="preserve">Settings Catalog</w:t>
            </w:r>
            <w:r>
              <w:t xml:space="preserve"> </w:t>
            </w:r>
            <w:r>
              <w:t xml:space="preserve">policy creation,</w:t>
            </w:r>
            <w:r>
              <w:t xml:space="preserve"> </w:t>
            </w:r>
            <w:r>
              <w:t xml:space="preserve">coexistence</w:t>
            </w:r>
            <w:r>
              <w:t xml:space="preserve"> </w:t>
            </w: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1 complete;</w:t>
            </w:r>
            <w:r>
              <w:t xml:space="preserve"> </w:t>
            </w:r>
            <w:r>
              <w:t xml:space="preserve">dynamic groups</w:t>
            </w:r>
            <w:r>
              <w:t xml:space="preserve"> </w:t>
            </w:r>
            <w:r>
              <w:t xml:space="preserve">available for</w:t>
            </w:r>
            <w:r>
              <w:t xml:space="preserve"> </w:t>
            </w:r>
            <w:r>
              <w:t xml:space="preserve">policy 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and analyze</w:t>
            </w:r>
            <w:r>
              <w:t xml:space="preserve"> </w:t>
            </w:r>
            <w:r>
              <w:t xml:space="preserve">all GPOs via Group</w:t>
            </w:r>
            <w:r>
              <w:t xml:space="preserve"> </w:t>
            </w:r>
            <w:r>
              <w:t xml:space="preserve">Policy Analytics;</w:t>
            </w:r>
            <w:r>
              <w:t xml:space="preserve"> </w:t>
            </w:r>
            <w:r>
              <w:t xml:space="preserve">rationalize GPO</w:t>
            </w:r>
            <w:r>
              <w:t xml:space="preserve"> </w:t>
            </w:r>
            <w:r>
              <w:t xml:space="preserve">estate; create Intune</w:t>
            </w:r>
            <w:r>
              <w:t xml:space="preserve"> </w:t>
            </w:r>
            <w:r>
              <w:t xml:space="preserve">Settings Catalog</w:t>
            </w:r>
            <w:r>
              <w:t xml:space="preserve"> </w:t>
            </w:r>
            <w:r>
              <w:t xml:space="preserve">policies for Phase A</w:t>
            </w:r>
            <w:r>
              <w:t xml:space="preserve"> </w:t>
            </w:r>
            <w:r>
              <w:t xml:space="preserve">settings; enable MDM</w:t>
            </w:r>
            <w:r>
              <w:t xml:space="preserve"> </w:t>
            </w:r>
            <w:r>
              <w:t xml:space="preserve">Wins Over GP on pilot</w:t>
            </w:r>
            <w:r>
              <w:t xml:space="preserve"> </w:t>
            </w:r>
            <w:r>
              <w:t xml:space="preserve">devices; validate</w:t>
            </w:r>
            <w:r>
              <w:t xml:space="preserve"> </w:t>
            </w:r>
            <w:r>
              <w:t xml:space="preserve">policy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Policy Analytics</w:t>
            </w:r>
            <w:r>
              <w:t xml:space="preserve"> </w:t>
            </w:r>
            <w:r>
              <w:t xml:space="preserve">reports generated;</w:t>
            </w:r>
            <w:r>
              <w:t xml:space="preserve"> </w:t>
            </w:r>
            <w:r>
              <w:t xml:space="preserve">rationalization reduces</w:t>
            </w:r>
            <w:r>
              <w:t xml:space="preserve"> </w:t>
            </w:r>
            <w:r>
              <w:t xml:space="preserve">setting count by ≥20%;</w:t>
            </w:r>
            <w:r>
              <w:t xml:space="preserve"> </w:t>
            </w:r>
            <w:r>
              <w:t xml:space="preserve">Intune policies applied</w:t>
            </w:r>
            <w:r>
              <w:t xml:space="preserve"> </w:t>
            </w:r>
            <w:r>
              <w:t xml:space="preserve">to pilot devices without</w:t>
            </w:r>
            <w:r>
              <w:t xml:space="preserve"> </w:t>
            </w:r>
            <w:r>
              <w:t xml:space="preserve">conflicts; MDM Wins Over</w:t>
            </w:r>
            <w:r>
              <w:t xml:space="preserve"> </w:t>
            </w:r>
            <w:r>
              <w:t xml:space="preserve">GP confirmed operational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8–10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Disable MDM Wins Over</w:t>
            </w:r>
            <w:r>
              <w:t xml:space="preserve"> </w:t>
            </w:r>
            <w:r>
              <w:t xml:space="preserve">GP; unassign Intune</w:t>
            </w:r>
            <w:r>
              <w:t xml:space="preserve"> </w:t>
            </w:r>
            <w:r>
              <w:t xml:space="preserve">policies from pilot</w:t>
            </w:r>
            <w:r>
              <w:t xml:space="preserve"> </w:t>
            </w:r>
            <w:r>
              <w:t xml:space="preserve">devices; GPO remains</w:t>
            </w:r>
            <w:r>
              <w:t xml:space="preserve"> </w:t>
            </w:r>
            <w:r>
              <w:t xml:space="preserve">authoritative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Device</w:t>
            </w:r>
            <w:r>
              <w:t xml:space="preserve"> </w:t>
            </w:r>
            <w:r>
              <w:t xml:space="preserve">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50–100 client</w:t>
            </w:r>
            <w:r>
              <w:t xml:space="preserve"> </w:t>
            </w:r>
            <w:r>
              <w:t xml:space="preserve">devices migrated</w:t>
            </w:r>
            <w:r>
              <w:t xml:space="preserve"> </w:t>
            </w:r>
            <w:r>
              <w:t xml:space="preserve">from Hybrid Entra</w:t>
            </w:r>
            <w:r>
              <w:t xml:space="preserve"> </w:t>
            </w:r>
            <w:r>
              <w:t xml:space="preserve">Joined to Entra</w:t>
            </w:r>
            <w:r>
              <w:t xml:space="preserve"> </w:t>
            </w:r>
            <w:r>
              <w:t xml:space="preserve">Joined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2 complete;</w:t>
            </w:r>
            <w:r>
              <w:t xml:space="preserve"> </w:t>
            </w:r>
            <w:r>
              <w:t xml:space="preserve">Autopilot profiles</w:t>
            </w:r>
            <w:r>
              <w:t xml:space="preserve"> </w:t>
            </w:r>
            <w:r>
              <w:t xml:space="preserve">configured; KFM +</w:t>
            </w:r>
            <w:r>
              <w:t xml:space="preserve"> </w:t>
            </w:r>
            <w:r>
              <w:t xml:space="preserve">Windows Backup</w:t>
            </w:r>
            <w:r>
              <w:t xml:space="preserve"> </w:t>
            </w:r>
            <w:r>
              <w:t xml:space="preserve">enabled; app</w:t>
            </w:r>
            <w:r>
              <w:t xml:space="preserve"> </w:t>
            </w:r>
            <w:r>
              <w:t xml:space="preserve">catalog complete in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pilot devices</w:t>
            </w:r>
            <w:r>
              <w:t xml:space="preserve"> </w:t>
            </w:r>
            <w:r>
              <w:t xml:space="preserve">across 3–4 OrgPath</w:t>
            </w:r>
            <w:r>
              <w:t xml:space="preserve"> </w:t>
            </w:r>
            <w:r>
              <w:t xml:space="preserve">segments; execute</w:t>
            </w:r>
            <w:r>
              <w:t xml:space="preserve"> </w:t>
            </w:r>
            <w:r>
              <w:t xml:space="preserve">Autopilot</w:t>
            </w:r>
            <w:r>
              <w:t xml:space="preserve"> </w:t>
            </w:r>
            <w:r>
              <w:t xml:space="preserve">wipe-and-reload;</w:t>
            </w:r>
            <w:r>
              <w:t xml:space="preserve"> </w:t>
            </w:r>
            <w:r>
              <w:t xml:space="preserve">validate user</w:t>
            </w:r>
            <w:r>
              <w:t xml:space="preserve"> </w:t>
            </w:r>
            <w:r>
              <w:t xml:space="preserve">experience, app</w:t>
            </w:r>
            <w:r>
              <w:t xml:space="preserve"> </w:t>
            </w:r>
            <w:r>
              <w:t xml:space="preserve">availability, policy</w:t>
            </w:r>
            <w:r>
              <w:t xml:space="preserve"> </w:t>
            </w:r>
            <w:r>
              <w:t xml:space="preserve">application, and</w:t>
            </w:r>
            <w:r>
              <w:t xml:space="preserve"> </w:t>
            </w:r>
            <w:r>
              <w:t xml:space="preserve">compliance status;</w:t>
            </w:r>
            <w:r>
              <w:t xml:space="preserve"> </w:t>
            </w:r>
            <w:r>
              <w:t xml:space="preserve">measure</w:t>
            </w:r>
            <w:r>
              <w:t xml:space="preserve"> </w:t>
            </w:r>
            <w:r>
              <w:t xml:space="preserve">re-provisioning</w:t>
            </w:r>
            <w:r>
              <w:t xml:space="preserve"> </w:t>
            </w: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pilot devices</w:t>
            </w:r>
            <w:r>
              <w:t xml:space="preserve"> </w:t>
            </w:r>
            <w:r>
              <w:t xml:space="preserve">Entra Joined; all</w:t>
            </w:r>
            <w:r>
              <w:t xml:space="preserve"> </w:t>
            </w:r>
            <w:r>
              <w:t xml:space="preserve">assigned apps installed;</w:t>
            </w:r>
            <w:r>
              <w:t xml:space="preserve"> </w:t>
            </w:r>
            <w:r>
              <w:t xml:space="preserve">compliance policies</w:t>
            </w:r>
            <w:r>
              <w:t xml:space="preserve"> </w:t>
            </w:r>
            <w:r>
              <w:t xml:space="preserve">reporting compliant; user</w:t>
            </w:r>
            <w:r>
              <w:t xml:space="preserve"> </w:t>
            </w:r>
            <w:r>
              <w:t xml:space="preserve">satisfaction survey ≥80%</w:t>
            </w:r>
            <w:r>
              <w:t xml:space="preserve"> </w:t>
            </w:r>
            <w:r>
              <w:t xml:space="preserve">positive; mean</w:t>
            </w:r>
            <w:r>
              <w:t xml:space="preserve"> </w:t>
            </w:r>
            <w:r>
              <w:t xml:space="preserve">re-provisioning time ≤3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4–6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Re-image pilot</w:t>
            </w:r>
            <w:r>
              <w:t xml:space="preserve"> </w:t>
            </w:r>
            <w:r>
              <w:t xml:space="preserve">devices to</w:t>
            </w:r>
            <w:r>
              <w:t xml:space="preserve"> </w:t>
            </w:r>
            <w:r>
              <w:t xml:space="preserve">domain-joined state;</w:t>
            </w:r>
            <w:r>
              <w:t xml:space="preserve"> </w:t>
            </w:r>
            <w:r>
              <w:t xml:space="preserve">re-apply GPO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Arc</w:t>
            </w:r>
            <w:r>
              <w:t xml:space="preserve"> </w:t>
            </w:r>
            <w:r>
              <w:t xml:space="preserve">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server Arc</w:t>
            </w:r>
            <w:r>
              <w:t xml:space="preserve"> </w:t>
            </w:r>
            <w:r>
              <w:t xml:space="preserve">onboarding</w:t>
            </w:r>
            <w:r>
              <w:t xml:space="preserve"> </w:t>
            </w:r>
            <w:r>
              <w:t xml:space="preserve">(20–30 servers</w:t>
            </w:r>
            <w:r>
              <w:t xml:space="preserve"> </w:t>
            </w:r>
            <w:r>
              <w:t xml:space="preserve">across</w:t>
            </w:r>
            <w:r>
              <w:t xml:space="preserve"> </w:t>
            </w:r>
            <w:r>
              <w:t xml:space="preserve">representative</w:t>
            </w:r>
            <w:r>
              <w:t xml:space="preserve"> </w:t>
            </w:r>
            <w:r>
              <w:t xml:space="preserve">roles)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1 complete;</w:t>
            </w:r>
            <w:r>
              <w:t xml:space="preserve"> </w:t>
            </w:r>
            <w:r>
              <w:t xml:space="preserve">Azure subscription</w:t>
            </w:r>
            <w:r>
              <w:t xml:space="preserve"> </w:t>
            </w:r>
            <w:r>
              <w:t xml:space="preserve">provisioned; Azure</w:t>
            </w:r>
            <w:r>
              <w:t xml:space="preserve"> </w:t>
            </w:r>
            <w:r>
              <w:t xml:space="preserve">Policy definitions</w:t>
            </w:r>
            <w:r>
              <w:t xml:space="preserve"> </w:t>
            </w:r>
            <w:r>
              <w:t xml:space="preserve">created; monitoring</w:t>
            </w:r>
            <w:r>
              <w:t xml:space="preserve"> </w:t>
            </w:r>
            <w:r>
              <w:t xml:space="preserve">workspace</w:t>
            </w:r>
            <w:r>
              <w:t xml:space="preserve"> </w:t>
            </w:r>
            <w:r>
              <w:t xml:space="preserve">configured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Install Arc agent on</w:t>
            </w:r>
            <w:r>
              <w:t xml:space="preserve"> </w:t>
            </w:r>
            <w:r>
              <w:t xml:space="preserve">pilot servers; assign</w:t>
            </w:r>
            <w:r>
              <w:t xml:space="preserve"> </w:t>
            </w:r>
            <w:r>
              <w:t xml:space="preserve">Azure Policy</w:t>
            </w:r>
            <w:r>
              <w:t xml:space="preserve"> </w:t>
            </w:r>
            <w:r>
              <w:t xml:space="preserve">baselines; configure</w:t>
            </w:r>
            <w:r>
              <w:t xml:space="preserve"> </w:t>
            </w:r>
            <w:r>
              <w:t xml:space="preserve">Azure Monitor Agent;</w:t>
            </w:r>
            <w:r>
              <w:t xml:space="preserve"> </w:t>
            </w:r>
            <w:r>
              <w:t xml:space="preserve">validate compliance</w:t>
            </w:r>
            <w:r>
              <w:t xml:space="preserve"> </w:t>
            </w:r>
            <w:r>
              <w:t xml:space="preserve">state and monitoring</w:t>
            </w:r>
            <w:r>
              <w:t xml:space="preserve"> </w:t>
            </w:r>
            <w:r>
              <w:t xml:space="preserve">data; test Azure</w:t>
            </w:r>
            <w:r>
              <w:t xml:space="preserve"> </w:t>
            </w:r>
            <w:r>
              <w:t xml:space="preserve">Update Manager</w:t>
            </w:r>
            <w:r>
              <w:t xml:space="preserve"> </w:t>
            </w:r>
            <w:r>
              <w:t xml:space="preserve">patching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pilot servers visible</w:t>
            </w:r>
            <w:r>
              <w:t xml:space="preserve"> </w:t>
            </w:r>
            <w:r>
              <w:t xml:space="preserve">in Azure portal; Azure</w:t>
            </w:r>
            <w:r>
              <w:t xml:space="preserve"> </w:t>
            </w:r>
            <w:r>
              <w:t xml:space="preserve">Policy compliance state</w:t>
            </w:r>
            <w:r>
              <w:t xml:space="preserve"> </w:t>
            </w:r>
            <w:r>
              <w:t xml:space="preserve">reporting; monitoring</w:t>
            </w:r>
            <w:r>
              <w:t xml:space="preserve"> </w:t>
            </w:r>
            <w:r>
              <w:t xml:space="preserve">data flowing to Log</w:t>
            </w:r>
            <w:r>
              <w:t xml:space="preserve"> </w:t>
            </w:r>
            <w:r>
              <w:t xml:space="preserve">Analytics; one successful</w:t>
            </w:r>
            <w:r>
              <w:t xml:space="preserve"> </w:t>
            </w:r>
            <w:r>
              <w:t xml:space="preserve">patch cycle via Update</w:t>
            </w:r>
            <w:r>
              <w:t xml:space="preserve"> </w:t>
            </w:r>
            <w: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4–6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Uninstall Arc agent;</w:t>
            </w:r>
            <w:r>
              <w:t xml:space="preserve"> </w:t>
            </w:r>
            <w:r>
              <w:t xml:space="preserve">servers revert to</w:t>
            </w:r>
            <w:r>
              <w:t xml:space="preserve"> </w:t>
            </w:r>
            <w:r>
              <w:t xml:space="preserve">AD/GPO/SCCM</w:t>
            </w:r>
            <w:r>
              <w:t xml:space="preserve"> </w:t>
            </w:r>
            <w:r>
              <w:t xml:space="preserve">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Broad Device</w:t>
            </w:r>
            <w:r>
              <w:t xml:space="preserve"> </w:t>
            </w:r>
            <w:r>
              <w:t xml:space="preserve">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Ring-based client</w:t>
            </w:r>
            <w:r>
              <w:t xml:space="preserve"> </w:t>
            </w:r>
            <w:r>
              <w:t xml:space="preserve">device migration:</w:t>
            </w:r>
            <w:r>
              <w:t xml:space="preserve"> </w:t>
            </w:r>
            <w:r>
              <w:t xml:space="preserve">10% → 25% → 50% →</w:t>
            </w:r>
            <w:r>
              <w:t xml:space="preserve"> </w:t>
            </w: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3 complete and</w:t>
            </w:r>
            <w:r>
              <w:t xml:space="preserve"> </w:t>
            </w:r>
            <w:r>
              <w:t xml:space="preserve">validated; Wave 3</w:t>
            </w:r>
            <w:r>
              <w:t xml:space="preserve"> </w:t>
            </w:r>
            <w:r>
              <w:t xml:space="preserve">lessons learned</w:t>
            </w:r>
            <w:r>
              <w:t xml:space="preserve"> </w:t>
            </w:r>
            <w:r>
              <w:t xml:space="preserve">incorporated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ring-based</w:t>
            </w:r>
            <w:r>
              <w:t xml:space="preserve"> </w:t>
            </w:r>
            <w:r>
              <w:t xml:space="preserve">migration using</w:t>
            </w:r>
            <w:r>
              <w:t xml:space="preserve"> </w:t>
            </w:r>
            <w:r>
              <w:t xml:space="preserve">Autopilot; deploy by</w:t>
            </w:r>
            <w:r>
              <w:t xml:space="preserve"> </w:t>
            </w:r>
            <w:r>
              <w:t xml:space="preserve">OrgPath segment;</w:t>
            </w:r>
            <w:r>
              <w:t xml:space="preserve"> </w:t>
            </w:r>
            <w:r>
              <w:t xml:space="preserve">monitor compliance,</w:t>
            </w:r>
            <w:r>
              <w:t xml:space="preserve"> </w:t>
            </w:r>
            <w:r>
              <w:t xml:space="preserve">app installation, and</w:t>
            </w:r>
            <w:r>
              <w:t xml:space="preserve"> </w:t>
            </w:r>
            <w:r>
              <w:t xml:space="preserve">user satisfaction per</w:t>
            </w:r>
            <w:r>
              <w:t xml:space="preserve"> </w:t>
            </w:r>
            <w:r>
              <w:t xml:space="preserve">ring; advance rings</w:t>
            </w:r>
            <w:r>
              <w:t xml:space="preserve"> </w:t>
            </w:r>
            <w:r>
              <w:t xml:space="preserve">per validation</w:t>
            </w:r>
            <w:r>
              <w:t xml:space="preserve"> </w:t>
            </w:r>
            <w:r>
              <w:t xml:space="preserve">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Per-ring: ≥98% of devices</w:t>
            </w:r>
            <w:r>
              <w:t xml:space="preserve"> </w:t>
            </w:r>
            <w:r>
              <w:t xml:space="preserve">Entra Joined; compliance</w:t>
            </w:r>
            <w:r>
              <w:t xml:space="preserve"> </w:t>
            </w:r>
            <w:r>
              <w:t xml:space="preserve">policies compliant; app</w:t>
            </w:r>
            <w:r>
              <w:t xml:space="preserve"> </w:t>
            </w:r>
            <w:r>
              <w:t xml:space="preserve">installation success</w:t>
            </w:r>
            <w:r>
              <w:t xml:space="preserve"> </w:t>
            </w:r>
            <w:r>
              <w:t xml:space="preserve">≥95%; helpdesk ticket</w:t>
            </w:r>
            <w:r>
              <w:t xml:space="preserve"> </w:t>
            </w:r>
            <w:r>
              <w:t xml:space="preserve">rate ≤5% of migrated</w:t>
            </w:r>
            <w:r>
              <w:t xml:space="preserve"> </w:t>
            </w:r>
            <w:r>
              <w:t xml:space="preserve">devices per 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16–24 weeks</w:t>
            </w:r>
            <w:r>
              <w:t xml:space="preserve"> </w:t>
            </w:r>
            <w:r>
              <w:t xml:space="preserve">(all rings)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ring: re-image</w:t>
            </w:r>
            <w:r>
              <w:t xml:space="preserve"> </w:t>
            </w:r>
            <w:r>
              <w:t xml:space="preserve">failed devices to</w:t>
            </w:r>
            <w:r>
              <w:t xml:space="preserve"> </w:t>
            </w:r>
            <w:r>
              <w:t xml:space="preserve">domain-joined state.</w:t>
            </w:r>
            <w:r>
              <w:t xml:space="preserve"> </w:t>
            </w:r>
            <w:r>
              <w:t xml:space="preserve">Rollback of completed</w:t>
            </w:r>
            <w:r>
              <w:t xml:space="preserve"> </w:t>
            </w:r>
            <w:r>
              <w:t xml:space="preserve">rings requires new</w:t>
            </w:r>
            <w:r>
              <w:t xml:space="preserve"> </w:t>
            </w:r>
            <w:r>
              <w:t xml:space="preserve">change request.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</w:t>
            </w:r>
            <w:r>
              <w:t xml:space="preserve"> </w:t>
            </w:r>
            <w:r>
              <w:t xml:space="preserve">Operationalization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</w:t>
            </w:r>
            <w:r>
              <w:t xml:space="preserve"> </w:t>
            </w:r>
            <w:r>
              <w:t xml:space="preserve">pipeline</w:t>
            </w:r>
            <w:r>
              <w:t xml:space="preserve"> </w:t>
            </w:r>
            <w:r>
              <w:t xml:space="preserve">activation, drift</w:t>
            </w:r>
            <w:r>
              <w:t xml:space="preserve"> </w:t>
            </w:r>
            <w:r>
              <w:t xml:space="preserve">detection, SLA</w:t>
            </w:r>
            <w:r>
              <w:t xml:space="preserve"> </w:t>
            </w:r>
            <w:r>
              <w:t xml:space="preserve">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0 (ScubaGear</w:t>
            </w:r>
            <w:r>
              <w:t xml:space="preserve"> </w:t>
            </w:r>
            <w:r>
              <w:t xml:space="preserve">baseline) complete;</w:t>
            </w:r>
            <w:r>
              <w:t xml:space="preserve"> </w:t>
            </w:r>
            <w:r>
              <w:t xml:space="preserve">UIAO SCuBA platform</w:t>
            </w:r>
            <w:r>
              <w:t xml:space="preserve"> </w:t>
            </w:r>
            <w:r>
              <w:t xml:space="preserve">deployed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Activate automated</w:t>
            </w:r>
            <w:r>
              <w:t xml:space="preserve"> </w:t>
            </w:r>
            <w:r>
              <w:t xml:space="preserve">ScubaGear scheduling;</w:t>
            </w:r>
            <w:r>
              <w:t xml:space="preserve"> </w:t>
            </w:r>
            <w:r>
              <w:t xml:space="preserve">configure UIAO SCuBA</w:t>
            </w:r>
            <w:r>
              <w:t xml:space="preserve"> </w:t>
            </w:r>
            <w:r>
              <w:t xml:space="preserve">ingestion and delta</w:t>
            </w:r>
            <w:r>
              <w:t xml:space="preserve"> </w:t>
            </w:r>
            <w:r>
              <w:t xml:space="preserve">analysis; establish</w:t>
            </w:r>
            <w:r>
              <w:t xml:space="preserve"> </w:t>
            </w:r>
            <w:r>
              <w:t xml:space="preserve">desired-state</w:t>
            </w:r>
            <w:r>
              <w:t xml:space="preserve"> </w:t>
            </w:r>
            <w:r>
              <w:t xml:space="preserve">registry; configure</w:t>
            </w:r>
            <w:r>
              <w:t xml:space="preserve"> </w:t>
            </w:r>
            <w:r>
              <w:t xml:space="preserve">owner routing and SLA</w:t>
            </w:r>
            <w:r>
              <w:t xml:space="preserve"> </w:t>
            </w:r>
            <w:r>
              <w:t xml:space="preserve">timers; generate</w:t>
            </w:r>
            <w:r>
              <w:t xml:space="preserve"> </w:t>
            </w:r>
            <w:r>
              <w:t xml:space="preserve">first compliance</w:t>
            </w:r>
            <w:r>
              <w:t xml:space="preserve"> </w:t>
            </w:r>
            <w:r>
              <w:t xml:space="preserve">trend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scans executing</w:t>
            </w:r>
            <w:r>
              <w:t xml:space="preserve"> </w:t>
            </w:r>
            <w:r>
              <w:t xml:space="preserve">on schedule; delta</w:t>
            </w:r>
            <w:r>
              <w:t xml:space="preserve"> </w:t>
            </w:r>
            <w:r>
              <w:t xml:space="preserve">analysis producing</w:t>
            </w:r>
            <w:r>
              <w:t xml:space="preserve"> </w:t>
            </w:r>
            <w:r>
              <w:t xml:space="preserve">accurate</w:t>
            </w:r>
            <w:r>
              <w:t xml:space="preserve"> </w:t>
            </w:r>
            <w:r>
              <w:t xml:space="preserve">new/resolved/persistent</w:t>
            </w:r>
            <w:r>
              <w:t xml:space="preserve"> </w:t>
            </w:r>
            <w:r>
              <w:t xml:space="preserve">categorization; owner</w:t>
            </w:r>
            <w:r>
              <w:t xml:space="preserve"> </w:t>
            </w:r>
            <w:r>
              <w:t xml:space="preserve">routing tested; SLA</w:t>
            </w:r>
            <w:r>
              <w:t xml:space="preserve"> </w:t>
            </w:r>
            <w:r>
              <w:t xml:space="preserve">timers functional; first</w:t>
            </w:r>
            <w:r>
              <w:t xml:space="preserve"> </w:t>
            </w:r>
            <w:r>
              <w:t xml:space="preserve">trend report reviewed by</w:t>
            </w:r>
            <w:r>
              <w:t xml:space="preserve"> </w:t>
            </w:r>
            <w: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6–8 weeks</w:t>
            </w:r>
            <w:r>
              <w:t xml:space="preserve"> </w:t>
            </w:r>
            <w:r>
              <w:t xml:space="preserve">(initial);</w:t>
            </w:r>
            <w:r>
              <w:t xml:space="preserve"> </w:t>
            </w:r>
            <w:r>
              <w:t xml:space="preserve">ongoing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Revert to manual</w:t>
            </w:r>
            <w:r>
              <w:t xml:space="preserve"> </w:t>
            </w:r>
            <w:r>
              <w:t xml:space="preserve">ScubaGear execution;</w:t>
            </w:r>
            <w:r>
              <w:t xml:space="preserve"> </w:t>
            </w:r>
            <w:r>
              <w:t xml:space="preserve">UIAO SCuBA pipeline</w:t>
            </w:r>
            <w:r>
              <w:t xml:space="preserve"> </w:t>
            </w:r>
            <w:r>
              <w:t xml:space="preserve">suspended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Decommission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dependency</w:t>
            </w:r>
            <w:r>
              <w:t xml:space="preserve"> </w:t>
            </w:r>
            <w:r>
              <w:t xml:space="preserve">removal for fully</w:t>
            </w:r>
            <w:r>
              <w:t xml:space="preserve"> </w:t>
            </w:r>
            <w:r>
              <w:t xml:space="preserve">migrated OrgPath</w:t>
            </w:r>
            <w:r>
              <w:t xml:space="preserve"> </w:t>
            </w:r>
            <w:r>
              <w:t xml:space="preserve">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devices in</w:t>
            </w:r>
            <w:r>
              <w:t xml:space="preserve"> </w:t>
            </w:r>
            <w:r>
              <w:t xml:space="preserve">target OrgPath</w:t>
            </w:r>
            <w:r>
              <w:t xml:space="preserve"> </w:t>
            </w:r>
            <w:r>
              <w:t xml:space="preserve">segments migrated</w:t>
            </w:r>
            <w:r>
              <w:t xml:space="preserve"> </w:t>
            </w:r>
            <w:r>
              <w:t xml:space="preserve">(Wave 5 complete</w:t>
            </w:r>
            <w:r>
              <w:t xml:space="preserve"> </w:t>
            </w:r>
            <w:r>
              <w:t xml:space="preserve">for segment); all</w:t>
            </w:r>
            <w:r>
              <w:t xml:space="preserve"> </w:t>
            </w:r>
            <w:r>
              <w:t xml:space="preserve">policies migrated</w:t>
            </w:r>
            <w:r>
              <w:t xml:space="preserve"> </w:t>
            </w:r>
            <w:r>
              <w:t xml:space="preserve">to Intune; Arc</w:t>
            </w:r>
            <w:r>
              <w:t xml:space="preserve"> </w:t>
            </w:r>
            <w:r>
              <w:t xml:space="preserve">enrollment complete</w:t>
            </w:r>
            <w:r>
              <w:t xml:space="preserve"> </w:t>
            </w:r>
            <w:r>
              <w:t xml:space="preserve">for 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 GPO links for</w:t>
            </w:r>
            <w:r>
              <w:t xml:space="preserve"> </w:t>
            </w:r>
            <w:r>
              <w:t xml:space="preserve">migrated OUs; disable</w:t>
            </w:r>
            <w:r>
              <w:t xml:space="preserve"> </w:t>
            </w:r>
            <w:r>
              <w:t xml:space="preserve">AD computer objects</w:t>
            </w:r>
            <w:r>
              <w:t xml:space="preserve"> </w:t>
            </w:r>
            <w:r>
              <w:t xml:space="preserve">for migrated devices;</w:t>
            </w:r>
            <w:r>
              <w:t xml:space="preserve"> </w:t>
            </w:r>
            <w:r>
              <w:t xml:space="preserve">migrate Connect Sync</w:t>
            </w:r>
            <w:r>
              <w:t xml:space="preserve"> </w:t>
            </w:r>
            <w:r>
              <w:t xml:space="preserve">to Cloud Sync (full</w:t>
            </w:r>
            <w:r>
              <w:t xml:space="preserve"> </w:t>
            </w:r>
            <w:r>
              <w:t xml:space="preserve">cutover);</w:t>
            </w:r>
            <w:r>
              <w:t xml:space="preserve"> </w:t>
            </w:r>
            <w:r>
              <w:t xml:space="preserve">decommission ADFS (if</w:t>
            </w:r>
            <w:r>
              <w:t xml:space="preserve"> </w:t>
            </w:r>
            <w:r>
              <w:t xml:space="preserve">applicable); archive</w:t>
            </w:r>
            <w:r>
              <w:t xml:space="preserve"> </w:t>
            </w:r>
            <w:r>
              <w:t xml:space="preserve">legacy AD</w:t>
            </w:r>
            <w:r>
              <w:t xml:space="preserve"> </w:t>
            </w:r>
            <w: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active GPO links for</w:t>
            </w:r>
            <w:r>
              <w:t xml:space="preserve"> </w:t>
            </w:r>
            <w:r>
              <w:t xml:space="preserve">migrated OUs; no active</w:t>
            </w:r>
            <w:r>
              <w:t xml:space="preserve"> </w:t>
            </w:r>
            <w:r>
              <w:t xml:space="preserve">computer objects for</w:t>
            </w:r>
            <w:r>
              <w:t xml:space="preserve"> </w:t>
            </w:r>
            <w:r>
              <w:t xml:space="preserve">migrated devices; Cloud</w:t>
            </w:r>
            <w:r>
              <w:t xml:space="preserve"> </w:t>
            </w:r>
            <w:r>
              <w:t xml:space="preserve">Sync operating as sole</w:t>
            </w:r>
            <w:r>
              <w:t xml:space="preserve"> </w:t>
            </w:r>
            <w:r>
              <w:t xml:space="preserve">sync engine; ADFS</w:t>
            </w:r>
            <w:r>
              <w:t xml:space="preserve"> </w:t>
            </w:r>
            <w:r>
              <w:t xml:space="preserve">decommissioned (if</w:t>
            </w:r>
            <w:r>
              <w:t xml:space="preserve"> </w:t>
            </w:r>
            <w:r>
              <w:t xml:space="preserve">applicable); legacy</w:t>
            </w:r>
            <w:r>
              <w:t xml:space="preserve"> </w:t>
            </w:r>
            <w:r>
              <w:t xml:space="preserve">configuration archived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8–12 weeks</w:t>
            </w:r>
            <w:r>
              <w:t xml:space="preserve"> </w:t>
            </w:r>
            <w:r>
              <w:t xml:space="preserve">per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Re-enable GPO links;</w:t>
            </w:r>
            <w:r>
              <w:t xml:space="preserve"> </w:t>
            </w:r>
            <w:r>
              <w:t xml:space="preserve">re-enable computer</w:t>
            </w:r>
            <w:r>
              <w:t xml:space="preserve"> </w:t>
            </w:r>
            <w:r>
              <w:t xml:space="preserve">objects; re-activate</w:t>
            </w:r>
            <w:r>
              <w:t xml:space="preserve"> </w:t>
            </w:r>
            <w:r>
              <w:t xml:space="preserve">Connect Sync if Cloud</w:t>
            </w:r>
            <w:r>
              <w:t xml:space="preserve"> </w:t>
            </w:r>
            <w:r>
              <w:t xml:space="preserve">Sync issues</w:t>
            </w:r>
          </w:p>
        </w:tc>
      </w:tr>
    </w:tbl>
    <w:p>
      <w:pPr>
        <w:pStyle w:val="BodyText"/>
      </w:pPr>
      <w:r>
        <w:t xml:space="preserve">9.3 Dependency Chain</w:t>
      </w:r>
    </w:p>
    <w:p>
      <w:pPr>
        <w:pStyle w:val="BodyText"/>
      </w:pPr>
      <w:r>
        <w:t xml:space="preserve">The modernization waves are connected by a dependency chain that defines</w:t>
      </w:r>
      <w:r>
        <w:t xml:space="preserve"> </w:t>
      </w:r>
      <w:r>
        <w:t xml:space="preserve">which waves must complete before others can begin. Understanding this</w:t>
      </w:r>
      <w:r>
        <w:t xml:space="preserve"> </w:t>
      </w:r>
      <w:r>
        <w:t xml:space="preserve">chain is critical for project planning, resource allocation, and risk</w:t>
      </w:r>
      <w:r>
        <w:t xml:space="preserve"> </w:t>
      </w:r>
      <w:r>
        <w:t xml:space="preserve">management.</w:t>
      </w:r>
    </w:p>
    <w:p>
      <w:pPr>
        <w:pStyle w:val="BodyText"/>
      </w:pPr>
      <w:r>
        <w:rPr>
          <w:b/>
          <w:bCs/>
        </w:rPr>
        <w:t xml:space="preserve">Sequential Dependencies (Critical Path):</w:t>
      </w:r>
      <w:r>
        <w:t xml:space="preserve"> </w:t>
      </w:r>
      <w:r>
        <w:t xml:space="preserve">Waves 0, 1, and 2 are</w:t>
      </w:r>
      <w:r>
        <w:t xml:space="preserve"> </w:t>
      </w:r>
      <w:r>
        <w:t xml:space="preserve">strictly sequential — each builds on the outputs of its predecessor.</w:t>
      </w:r>
      <w:r>
        <w:t xml:space="preserve"> </w:t>
      </w:r>
      <w:r>
        <w:t xml:space="preserve">Wave 0 produces the sync infrastructure and OrgPath attributes that Wave</w:t>
      </w:r>
      <w:r>
        <w:t xml:space="preserve"> </w:t>
      </w:r>
      <w:r>
        <w:t xml:space="preserve">1 consumes to create Administrative Units and dynamic groups. Wave 1</w:t>
      </w:r>
      <w:r>
        <w:t xml:space="preserve"> </w:t>
      </w:r>
      <w:r>
        <w:t xml:space="preserve">produces the dynamic groups that Wave 2 uses for Intune policy</w:t>
      </w:r>
      <w:r>
        <w:t xml:space="preserve"> </w:t>
      </w:r>
      <w:r>
        <w:t xml:space="preserve">targeting. This sequence forms the critical path through the first half</w:t>
      </w:r>
      <w:r>
        <w:t xml:space="preserve"> </w:t>
      </w:r>
      <w:r>
        <w:t xml:space="preserve">of the program.</w:t>
      </w:r>
    </w:p>
    <w:p>
      <w:pPr>
        <w:pStyle w:val="BodyText"/>
      </w:pPr>
      <w:r>
        <w:rPr>
          <w:b/>
          <w:bCs/>
        </w:rPr>
        <w:t xml:space="preserve">Wave 3 (Pilot Device Migration)</w:t>
      </w:r>
      <w:r>
        <w:t xml:space="preserve"> </w:t>
      </w:r>
      <w:r>
        <w:t xml:space="preserve">depends on Wave 2 completing</w:t>
      </w:r>
      <w:r>
        <w:t xml:space="preserve"> </w:t>
      </w:r>
      <w:r>
        <w:t xml:space="preserve">successfully. Without Intune policies in place and validated, migrating</w:t>
      </w:r>
      <w:r>
        <w:t xml:space="preserve"> </w:t>
      </w:r>
      <w:r>
        <w:t xml:space="preserve">devices to Entra Joined would leave them ungoverned — violating</w:t>
      </w:r>
      <w:r>
        <w:t xml:space="preserve"> </w:t>
      </w:r>
      <w:r>
        <w:t xml:space="preserve">Principle 3 (Compliance Continuity).</w:t>
      </w:r>
    </w:p>
    <w:p>
      <w:pPr>
        <w:pStyle w:val="BodyText"/>
      </w:pPr>
      <w:r>
        <w:rPr>
          <w:b/>
          <w:bCs/>
        </w:rPr>
        <w:t xml:space="preserve">Wave 4 (Server Arc Enrollment)</w:t>
      </w:r>
      <w:r>
        <w:t xml:space="preserve"> </w:t>
      </w:r>
      <w:r>
        <w:t xml:space="preserve">runs in parallel with Waves 3 and 5.</w:t>
      </w:r>
      <w:r>
        <w:t xml:space="preserve"> </w:t>
      </w:r>
      <w:r>
        <w:t xml:space="preserve">It depends only on Wave 1 (for Entra ID governance constructs and</w:t>
      </w:r>
      <w:r>
        <w:t xml:space="preserve"> </w:t>
      </w:r>
      <w:r>
        <w:t xml:space="preserve">OrgPath tags) and the Azure subscription provisioning. Server Arc</w:t>
      </w:r>
      <w:r>
        <w:t xml:space="preserve"> </w:t>
      </w:r>
      <w:r>
        <w:t xml:space="preserve">enrollment does not depend on the GPO migration (Wave 2) or client</w:t>
      </w:r>
      <w:r>
        <w:t xml:space="preserve"> </w:t>
      </w:r>
      <w:r>
        <w:t xml:space="preserve">device migration (Wave 3) because servers use Azure Policy, not Intune.</w:t>
      </w:r>
    </w:p>
    <w:p>
      <w:pPr>
        <w:pStyle w:val="BodyText"/>
      </w:pPr>
      <w:r>
        <w:rPr>
          <w:b/>
          <w:bCs/>
        </w:rPr>
        <w:t xml:space="preserve">Wave 5 (Broad Device Migration)</w:t>
      </w:r>
      <w:r>
        <w:t xml:space="preserve"> </w:t>
      </w:r>
      <w:r>
        <w:t xml:space="preserve">depends on Wave 3 (pilot</w:t>
      </w:r>
      <w:r>
        <w:t xml:space="preserve"> </w:t>
      </w:r>
      <w:r>
        <w:t xml:space="preserve">validation). The pilot wave validates the migration methodology, user</w:t>
      </w:r>
      <w:r>
        <w:t xml:space="preserve"> </w:t>
      </w:r>
      <w:r>
        <w:t xml:space="preserve">experience, and operational procedures that Wave 5 will execute at</w:t>
      </w:r>
      <w:r>
        <w:t xml:space="preserve"> </w:t>
      </w:r>
      <w:r>
        <w:t xml:space="preserve">scale. No broad migration begins without successful pilot completion.</w:t>
      </w:r>
    </w:p>
    <w:p>
      <w:pPr>
        <w:pStyle w:val="BodyText"/>
      </w:pPr>
      <w:r>
        <w:rPr>
          <w:b/>
          <w:bCs/>
        </w:rPr>
        <w:t xml:space="preserve">Wave 6 (SCuBA Operationalization)</w:t>
      </w:r>
      <w:r>
        <w:t xml:space="preserve"> </w:t>
      </w:r>
      <w:r>
        <w:t xml:space="preserve">can begin after Wave 0 produces</w:t>
      </w:r>
      <w:r>
        <w:t xml:space="preserve"> </w:t>
      </w:r>
      <w:r>
        <w:t xml:space="preserve">the first ScubaGear baseline scan. However, full operationalization —</w:t>
      </w:r>
      <w:r>
        <w:t xml:space="preserve"> </w:t>
      </w:r>
      <w:r>
        <w:t xml:space="preserve">including drift detection for Intune policies and Arc-managed servers</w:t>
      </w:r>
      <w:r>
        <w:t xml:space="preserve"> </w:t>
      </w:r>
      <w:r>
        <w:t xml:space="preserve">— reaches maturity only after Waves 2–5 are complete and the</w:t>
      </w:r>
      <w:r>
        <w:t xml:space="preserve"> </w:t>
      </w:r>
      <w:r>
        <w:t xml:space="preserve">modernized configuration is established as the canonical desired state.</w:t>
      </w:r>
    </w:p>
    <w:p>
      <w:pPr>
        <w:pStyle w:val="BodyText"/>
      </w:pPr>
      <w:r>
        <w:rPr>
          <w:b/>
          <w:bCs/>
        </w:rPr>
        <w:t xml:space="preserve">Wave 7 (Legacy Decommission)</w:t>
      </w:r>
      <w:r>
        <w:t xml:space="preserve"> </w:t>
      </w:r>
      <w:r>
        <w:t xml:space="preserve">is the terminal wave. It begins on a</w:t>
      </w:r>
      <w:r>
        <w:t xml:space="preserve"> </w:t>
      </w:r>
      <w:r>
        <w:t xml:space="preserve">per-segment basis only after all devices and users in a given OrgPath</w:t>
      </w:r>
      <w:r>
        <w:t xml:space="preserve"> </w:t>
      </w:r>
      <w:r>
        <w:t xml:space="preserve">segment have completed their migration (Waves 3–5 complete for that</w:t>
      </w:r>
      <w:r>
        <w:t xml:space="preserve"> </w:t>
      </w:r>
      <w:r>
        <w:t xml:space="preserve">segment). Wave 7 is the final step in transitioning ownership from</w:t>
      </w:r>
      <w:r>
        <w:t xml:space="preserve"> </w:t>
      </w:r>
      <w:r>
        <w:t xml:space="preserve">AD/GPO to Entra ID/Intune/Arc and cannot be reversed without significant</w:t>
      </w:r>
      <w:r>
        <w:t xml:space="preserve"> </w:t>
      </w:r>
      <w:r>
        <w:t xml:space="preserve">effort.</w:t>
      </w:r>
    </w:p>
    <w:p>
      <w:pPr>
        <w:pStyle w:val="BodyText"/>
      </w:pPr>
      <w:r>
        <w:t xml:space="preserve">+———————————+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2.6 — Diagram 7: Modernization Wave Dependency and Timeline** Dimensions: 6" title="" id="89" name="Picture"/>
            <a:graphic>
              <a:graphicData uri="http://schemas.openxmlformats.org/drawingml/2006/picture">
                <pic:pic>
                  <pic:nvPicPr>
                    <pic:cNvPr descr="images/02-06-diagram-7-modernization-wave-dependency-and-timeline-dimensi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2.6 — Diagram 7: Modernization Wave Dependency and Timeline**</w:t>
      </w:r>
      <w:r>
        <w:t xml:space="preserve"> </w:t>
      </w:r>
      <w:r>
        <w:rPr>
          <w:b/>
          <w:bCs/>
        </w:rPr>
        <w:t xml:space="preserve">Dimensions:</w:t>
      </w:r>
      <w:r>
        <w:t xml:space="preserve"> </w:t>
      </w:r>
      <w:r>
        <w:t xml:space="preserve">6</w:t>
      </w:r>
    </w:p>
    <w:p>
      <w:pPr>
        <w:pStyle w:val="BodyText"/>
      </w:pPr>
      <w:r>
        <w:t xml:space="preserve">Policy Waves. Green = Device |</w:t>
      </w:r>
      <w:r>
        <w:br/>
      </w:r>
      <w:r>
        <w:t xml:space="preserve">Waves. Purple = Compliance |</w:t>
      </w:r>
      <w:r>
        <w:br/>
      </w:r>
      <w:r>
        <w:t xml:space="preserve">Waves. Gray = Decommission. |</w:t>
      </w:r>
      <w:r>
        <w:br/>
      </w:r>
      <w:r>
        <w:t xml:space="preserve">Solid arrow = Sequential |</w:t>
      </w:r>
      <w:r>
        <w:br/>
      </w:r>
      <w:r>
        <w:t xml:space="preserve">dependency. Dashed arrow = |</w:t>
      </w:r>
      <w:r>
        <w:br/>
      </w:r>
      <w:r>
        <w:t xml:space="preserve">Parallel path.  |</w:t>
      </w:r>
      <w:r>
        <w:br/>
      </w:r>
      <w:r>
        <w:t xml:space="preserve">  |</w:t>
      </w:r>
      <w:r>
        <w:br/>
      </w:r>
      <w:r>
        <w:rPr>
          <w:b/>
          <w:bCs/>
        </w:rPr>
        <w:t xml:space="preserve">Visual Style:</w:t>
      </w:r>
      <w:r>
        <w:t xml:space="preserve"> </w:t>
      </w:r>
      <w:r>
        <w:t xml:space="preserve">White |</w:t>
      </w:r>
      <w:r>
        <w:br/>
      </w:r>
      <w:r>
        <w:t xml:space="preserve">background. Clean horizontal |</w:t>
      </w:r>
      <w:r>
        <w:br/>
      </w:r>
      <w:r>
        <w:t xml:space="preserve">bars. Week numbers on top axis. |</w:t>
      </w:r>
      <w:r>
        <w:br/>
      </w:r>
      <w:r>
        <w:t xml:space="preserve">Wave names on left axis. Arrows |</w:t>
      </w:r>
      <w:r>
        <w:br/>
      </w:r>
      <w:r>
        <w:t xml:space="preserve">with directional arrowheads |</w:t>
      </w:r>
      <w:r>
        <w:br/>
      </w:r>
      <w:r>
        <w:t xml:space="preserve">showing dependency flow. |</w:t>
      </w:r>
    </w:p>
    <w:p>
      <w:pPr>
        <w:pStyle w:val="BodyText"/>
      </w:pPr>
      <w:r>
        <w:t xml:space="preserve">+———————————+</w:t>
      </w:r>
    </w:p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bookmarkEnd w:id="91"/>
    <w:bookmarkStart w:id="92" w:name="Xf0114d27231c7994986bf8c7f37db4c61acc202"/>
    <w:p>
      <w:pPr>
        <w:pStyle w:val="Heading2"/>
      </w:pPr>
      <w:r>
        <w:t xml:space="preserve">Appendix D — Governance, RACI, and Artifact Traceability (Restored Detail)</w:t>
      </w:r>
    </w:p>
    <w:p>
      <w:pPr>
        <w:pStyle w:val="BlockText"/>
      </w:pPr>
      <w:r>
        <w:rPr>
          <w:b/>
          <w:bCs/>
        </w:rPr>
        <w:t xml:space="preserve">Why this appendix exists.</w:t>
      </w:r>
      <w:r>
        <w:t xml:space="preserve"> </w:t>
      </w:r>
      <w:r>
        <w:t xml:space="preserve">Rev 0.x §11 covers Governance Integration</w:t>
      </w:r>
      <w:r>
        <w:t xml:space="preserve"> </w:t>
      </w:r>
      <w:r>
        <w:t xml:space="preserve">at a high level. The original Phase 1 v1.0 §10 carried the explicit</w:t>
      </w:r>
      <w:r>
        <w:t xml:space="preserve"> </w:t>
      </w:r>
      <w:r>
        <w:rPr>
          <w:b/>
          <w:bCs/>
        </w:rPr>
        <w:t xml:space="preserve">RACI matrix</w:t>
      </w:r>
      <w:r>
        <w:t xml:space="preserve"> </w:t>
      </w:r>
      <w:r>
        <w:t xml:space="preserve">(CIO / CISO / ISSO / AO / 3PAO / IT Ops / Identity Team</w:t>
      </w:r>
      <w:r>
        <w:t xml:space="preserve"> </w:t>
      </w:r>
      <w:r>
        <w:t xml:space="preserve">/ Endpoint Team) and the</w:t>
      </w:r>
      <w:r>
        <w:t xml:space="preserve"> </w:t>
      </w:r>
      <w:r>
        <w:rPr>
          <w:b/>
          <w:bCs/>
        </w:rPr>
        <w:t xml:space="preserve">artifact-traceability taxonomy</w:t>
      </w:r>
      <w:r>
        <w:t xml:space="preserve"> </w:t>
      </w:r>
      <w:r>
        <w:t xml:space="preserve">(MDR / PCW /</w:t>
      </w:r>
      <w:r>
        <w:t xml:space="preserve"> </w:t>
      </w:r>
      <w:r>
        <w:t xml:space="preserve">DML / SSR / DDF / WAA). Both are restored below; this is the canonical</w:t>
      </w:r>
      <w:r>
        <w:t xml:space="preserve"> </w:t>
      </w:r>
      <w:r>
        <w:t xml:space="preserve">form for Phase 1 governance-of-modernization.</w:t>
      </w:r>
    </w:p>
    <w:p>
      <w:pPr>
        <w:pStyle w:val="FirstParagraph"/>
      </w:pPr>
      <w:r>
        <w:t xml:space="preserve">Section 10 — Governance and Accountability</w:t>
      </w:r>
    </w:p>
    <w:p>
      <w:pPr>
        <w:pStyle w:val="BodyText"/>
      </w:pPr>
      <w:r>
        <w:t xml:space="preserve">Governance ensures that every modernization activity is authorized,</w:t>
      </w:r>
      <w:r>
        <w:t xml:space="preserve"> </w:t>
      </w:r>
      <w:r>
        <w:t xml:space="preserve">documented, and auditable. This section defines the RACI matrix for</w:t>
      </w:r>
      <w:r>
        <w:t xml:space="preserve"> </w:t>
      </w:r>
      <w:r>
        <w:t xml:space="preserve">Phase 1 activities, the artifact traceability model, and the success</w:t>
      </w:r>
      <w:r>
        <w:t xml:space="preserve"> </w:t>
      </w:r>
      <w:r>
        <w:t xml:space="preserve">criteria that determine whether the modernization program has achieved</w:t>
      </w:r>
      <w:r>
        <w:t xml:space="preserve"> </w:t>
      </w:r>
      <w:r>
        <w:t xml:space="preserve">its objectives.</w:t>
      </w:r>
    </w:p>
    <w:p>
      <w:pPr>
        <w:pStyle w:val="BodyText"/>
      </w:pPr>
      <w:r>
        <w:t xml:space="preserve">10.1 RACI Matrix</w:t>
      </w:r>
    </w:p>
    <w:p>
      <w:pPr>
        <w:pStyle w:val="BodyText"/>
      </w:pPr>
      <w:r>
        <w:t xml:space="preserve">Table 15 defines the responsibility assignment for each major Phase 1</w:t>
      </w:r>
      <w:r>
        <w:t xml:space="preserve"> </w:t>
      </w:r>
      <w:r>
        <w:t xml:space="preserve">activity across the eight key stakeholder roles. Values:</w:t>
      </w:r>
      <w:r>
        <w:t xml:space="preserve"> </w:t>
      </w:r>
      <w:r>
        <w:rPr>
          <w:b/>
          <w:bCs/>
        </w:rPr>
        <w:t xml:space="preserve">R</w:t>
      </w:r>
      <w:r>
        <w:t xml:space="preserve"> </w:t>
      </w:r>
      <w:r>
        <w:t xml:space="preserve">(Responsible — performs the work),</w:t>
      </w:r>
      <w:r>
        <w:t xml:space="preserve"> </w:t>
      </w:r>
      <w:r>
        <w:rPr>
          <w:b/>
          <w:bCs/>
        </w:rPr>
        <w:t xml:space="preserve">A</w:t>
      </w:r>
      <w:r>
        <w:t xml:space="preserve"> </w:t>
      </w:r>
      <w:r>
        <w:t xml:space="preserve">(Accountable — owns the</w:t>
      </w:r>
      <w:r>
        <w:t xml:space="preserve"> </w:t>
      </w:r>
      <w:r>
        <w:t xml:space="preserve">outcome),</w:t>
      </w:r>
      <w:r>
        <w:t xml:space="preserve"> </w:t>
      </w:r>
      <w:r>
        <w:rPr>
          <w:b/>
          <w:bCs/>
        </w:rPr>
        <w:t xml:space="preserve">C</w:t>
      </w:r>
      <w:r>
        <w:t xml:space="preserve"> </w:t>
      </w:r>
      <w:r>
        <w:t xml:space="preserve">(Consulted — provides input),</w:t>
      </w:r>
      <w:r>
        <w:t xml:space="preserve"> </w:t>
      </w:r>
      <w:r>
        <w:rPr>
          <w:b/>
          <w:bCs/>
        </w:rPr>
        <w:t xml:space="preserve">I</w:t>
      </w:r>
      <w:r>
        <w:t xml:space="preserve"> </w:t>
      </w:r>
      <w:r>
        <w:t xml:space="preserve">(Informed —</w:t>
      </w:r>
      <w:r>
        <w:t xml:space="preserve"> </w:t>
      </w:r>
      <w:r>
        <w:t xml:space="preserve">notified of results).</w:t>
      </w:r>
    </w:p>
    <w:p>
      <w:pPr>
        <w:pStyle w:val="BodyText"/>
      </w:pPr>
      <w:r>
        <w:rPr>
          <w:b/>
          <w:bCs/>
        </w:rPr>
        <w:t xml:space="preserve">Table 15: Phase 1 Modernization RACI Matrix</w:t>
      </w:r>
    </w:p>
    <w:tbl>
      <w:tblPr>
        <w:tblStyle w:val="Table"/>
        <w:tblW w:type="pct" w:w="4903"/>
        <w:tblLayout w:type="fixed"/>
        <w:tblLook w:firstRow="1" w:lastRow="0" w:firstColumn="0" w:lastColumn="0" w:noHBand="0" w:noVBand="0" w:val="0020"/>
      </w:tblPr>
      <w:tblGrid>
        <w:gridCol w:w="1153"/>
        <w:gridCol w:w="768"/>
        <w:gridCol w:w="845"/>
        <w:gridCol w:w="845"/>
        <w:gridCol w:w="692"/>
        <w:gridCol w:w="845"/>
        <w:gridCol w:w="615"/>
        <w:gridCol w:w="999"/>
        <w:gridCol w:w="99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CIO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CISO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3PAO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OrgPath Schema</w:t>
            </w:r>
            <w:r>
              <w:t xml:space="preserve"> </w:t>
            </w:r>
            <w:r>
              <w:t xml:space="preserve">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 Sync</w:t>
            </w:r>
            <w:r>
              <w:t xml:space="preserve"> </w:t>
            </w:r>
            <w:r>
              <w:t xml:space="preserve">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GPO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Intune Policy</w:t>
            </w:r>
            <w:r>
              <w:t xml:space="preserve"> </w:t>
            </w:r>
            <w:r>
              <w:t xml:space="preserve">Creation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</w:t>
            </w:r>
            <w:r>
              <w:t xml:space="preserve"> </w:t>
            </w:r>
            <w:r>
              <w:t xml:space="preserve">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 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</w:t>
            </w:r>
            <w:r>
              <w:t xml:space="preserve"> </w:t>
            </w:r>
            <w:r>
              <w:t xml:space="preserve">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</w:t>
            </w:r>
            <w:r>
              <w:t xml:space="preserve"> </w:t>
            </w:r>
            <w:r>
              <w:t xml:space="preserve">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Wave</w:t>
            </w:r>
            <w:r>
              <w:t xml:space="preserve"> </w:t>
            </w:r>
            <w:r>
              <w:t xml:space="preserve">Advancement</w:t>
            </w:r>
            <w:r>
              <w:t xml:space="preserve"> </w:t>
            </w:r>
            <w:r>
              <w:t xml:space="preserve">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</w:tbl>
    <w:p>
      <w:pPr>
        <w:pStyle w:val="BodyText"/>
      </w:pPr>
      <w:r>
        <w:t xml:space="preserve">10.2 Artifact Traceability</w:t>
      </w:r>
    </w:p>
    <w:p>
      <w:pPr>
        <w:pStyle w:val="BodyText"/>
      </w:pPr>
      <w:r>
        <w:t xml:space="preserve">Every modernization action must produce a traceable governance artifact.</w:t>
      </w:r>
      <w:r>
        <w:t xml:space="preserve"> </w:t>
      </w:r>
      <w:r>
        <w:t xml:space="preserve">Artifacts are the evidentiary backbone of the modernization program —</w:t>
      </w:r>
      <w:r>
        <w:t xml:space="preserve"> </w:t>
      </w:r>
      <w:r>
        <w:t xml:space="preserve">they enable after-the-fact audit, prove compliance with approved</w:t>
      </w:r>
      <w:r>
        <w:t xml:space="preserve"> </w:t>
      </w:r>
      <w:r>
        <w:t xml:space="preserve">procedures, and provide the historical record necessary for future</w:t>
      </w:r>
      <w:r>
        <w:t xml:space="preserve"> </w:t>
      </w:r>
      <w:r>
        <w:t xml:space="preserve">assessment cycles (including 3PAO assessments). The following artifact</w:t>
      </w:r>
      <w:r>
        <w:t xml:space="preserve"> </w:t>
      </w:r>
      <w:r>
        <w:t xml:space="preserve">types are defined for Phase 1: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Migration Decision Records (MDR):</w:t>
      </w:r>
      <w:r>
        <w:t xml:space="preserve"> </w:t>
      </w:r>
      <w:r>
        <w:t xml:space="preserve">Document the rationale for each</w:t>
      </w:r>
      <w:r>
        <w:t xml:space="preserve"> </w:t>
      </w:r>
      <w:r>
        <w:t xml:space="preserve">major migration decision, including alternatives considered, risk</w:t>
      </w:r>
      <w:r>
        <w:t xml:space="preserve"> </w:t>
      </w:r>
      <w:r>
        <w:t xml:space="preserve">assessment, and approval authority. MDRs are produced for: sync engine</w:t>
      </w:r>
      <w:r>
        <w:t xml:space="preserve"> </w:t>
      </w:r>
      <w:r>
        <w:t xml:space="preserve">selection (Connect Sync vs. Cloud Sync), GPO rationalization decisions</w:t>
      </w:r>
      <w:r>
        <w:t xml:space="preserve"> </w:t>
      </w:r>
      <w:r>
        <w:t xml:space="preserve">(settings removed or modified), device migration methodology</w:t>
      </w:r>
      <w:r>
        <w:t xml:space="preserve"> </w:t>
      </w:r>
      <w:r>
        <w:t xml:space="preserve">(Autopilot configuration), and wave advancement approvals.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Policy Conversion Worksheets (PCW):</w:t>
      </w:r>
      <w:r>
        <w:t xml:space="preserve"> </w:t>
      </w:r>
      <w:r>
        <w:t xml:space="preserve">Document the mapping from each</w:t>
      </w:r>
      <w:r>
        <w:t xml:space="preserve"> </w:t>
      </w:r>
      <w:r>
        <w:t xml:space="preserve">GPO setting to its Intune equivalent, including transformation logic,</w:t>
      </w:r>
      <w:r>
        <w:t xml:space="preserve"> </w:t>
      </w:r>
      <w:r>
        <w:t xml:space="preserve">testing results, and validation evidence. One PCW is produced per GPO</w:t>
      </w:r>
      <w:r>
        <w:t xml:space="preserve"> </w:t>
      </w:r>
      <w:r>
        <w:t xml:space="preserve">or per logical group of related GPOs.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Device Migration Logs (DML):</w:t>
      </w:r>
      <w:r>
        <w:t xml:space="preserve"> </w:t>
      </w:r>
      <w:r>
        <w:t xml:space="preserve">Document each device migration event,</w:t>
      </w:r>
      <w:r>
        <w:t xml:space="preserve"> </w:t>
      </w:r>
      <w:r>
        <w:t xml:space="preserve">including: device name, OrgPath, current state, target state,</w:t>
      </w:r>
      <w:r>
        <w:t xml:space="preserve"> </w:t>
      </w:r>
      <w:r>
        <w:t xml:space="preserve">migration method, start time, end time, success/failure, and any</w:t>
      </w:r>
      <w:r>
        <w:t xml:space="preserve"> </w:t>
      </w:r>
      <w:r>
        <w:t xml:space="preserve">issues encountered. DMLs are aggregated per wave for reporting.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SCuBA Scan Reports (SSR):</w:t>
      </w:r>
      <w:r>
        <w:t xml:space="preserve"> </w:t>
      </w:r>
      <w:r>
        <w:t xml:space="preserve">The raw ScubaGear outputs (HTML, JSON,</w:t>
      </w:r>
      <w:r>
        <w:t xml:space="preserve"> </w:t>
      </w:r>
      <w:r>
        <w:t xml:space="preserve">CSV) produced by each scheduled scan, stored with timestamp and scan</w:t>
      </w:r>
      <w:r>
        <w:t xml:space="preserve"> </w:t>
      </w:r>
      <w:r>
        <w:t xml:space="preserve">configuration metadata.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Drift Detection Findings (DDF):</w:t>
      </w:r>
      <w:r>
        <w:t xml:space="preserve"> </w:t>
      </w:r>
      <w:r>
        <w:t xml:space="preserve">Individual finding records</w:t>
      </w:r>
      <w:r>
        <w:t xml:space="preserve"> </w:t>
      </w:r>
      <w:r>
        <w:t xml:space="preserve">produced by UIAO SCuBA, each with: finding ID, detection timestamp,</w:t>
      </w:r>
      <w:r>
        <w:t xml:space="preserve"> </w:t>
      </w:r>
      <w:r>
        <w:t xml:space="preserve">drift category, severity, owner, remediation actions, verification</w:t>
      </w:r>
      <w:r>
        <w:t xml:space="preserve"> </w:t>
      </w:r>
      <w:r>
        <w:t xml:space="preserve">scan result, and closure timestamp.</w:t>
      </w:r>
    </w:p>
    <w:p>
      <w:pPr>
        <w:numPr>
          <w:ilvl w:val="0"/>
          <w:numId w:val="1016"/>
        </w:numPr>
      </w:pPr>
      <w:r>
        <w:rPr>
          <w:b/>
          <w:bCs/>
        </w:rPr>
        <w:t xml:space="preserve">Wave Advancement Approvals (WAA):</w:t>
      </w:r>
      <w:r>
        <w:t xml:space="preserve"> </w:t>
      </w:r>
      <w:r>
        <w:t xml:space="preserve">Formal approval documents signed</w:t>
      </w:r>
      <w:r>
        <w:t xml:space="preserve"> </w:t>
      </w:r>
      <w:r>
        <w:t xml:space="preserve">by the ISSO and AO confirming that all validation criteria for a wave</w:t>
      </w:r>
      <w:r>
        <w:t xml:space="preserve"> </w:t>
      </w:r>
      <w:r>
        <w:t xml:space="preserve">have been met and authorizing advancement to the next wave.</w:t>
      </w:r>
    </w:p>
    <w:p>
      <w:pPr>
        <w:pStyle w:val="FirstParagraph"/>
      </w:pPr>
      <w:r>
        <w:t xml:space="preserve">All artifacts follow the UIAO metadata schema: document_id (unique</w:t>
      </w:r>
      <w:r>
        <w:t xml:space="preserve"> </w:t>
      </w:r>
      <w:r>
        <w:t xml:space="preserve">identifier), title (descriptive name), version (semantic versioning),</w:t>
      </w:r>
      <w:r>
        <w:t xml:space="preserve"> </w:t>
      </w:r>
      <w:r>
        <w:t xml:space="preserve">status (draft, review, approved, archived), classification (Controlled),</w:t>
      </w:r>
      <w:r>
        <w:t xml:space="preserve"> </w:t>
      </w:r>
      <w:r>
        <w:t xml:space="preserve">owner (responsible individual), created_at (ISO 8601 timestamp),</w:t>
      </w:r>
      <w:r>
        <w:t xml:space="preserve"> </w:t>
      </w:r>
      <w:r>
        <w:t xml:space="preserve">updated_at (ISO 8601 timestamp), and boundary (GCC-Moderate M365).</w:t>
      </w:r>
      <w:r>
        <w:t xml:space="preserve"> </w:t>
      </w:r>
      <w:r>
        <w:t xml:space="preserve">Artifacts are stored in the UIAO Canon repository and are indexed for</w:t>
      </w:r>
      <w:r>
        <w:t xml:space="preserve"> </w:t>
      </w:r>
      <w:r>
        <w:t xml:space="preserve">retrieval by artifact type, wave number, OrgPath segment, and date</w:t>
      </w:r>
      <w:r>
        <w:t xml:space="preserve"> </w:t>
      </w:r>
      <w:r>
        <w:t xml:space="preserve">range.</w:t>
      </w:r>
    </w:p>
    <w:p>
      <w:pPr>
        <w:pStyle w:val="BodyText"/>
      </w:pPr>
      <w:r>
        <w:t xml:space="preserve">10.3 Success Criteria</w:t>
      </w:r>
    </w:p>
    <w:p>
      <w:pPr>
        <w:pStyle w:val="BodyText"/>
      </w:pPr>
      <w:r>
        <w:t xml:space="preserve">Table 16 defines the measurable success criteria for the Phase 1</w:t>
      </w:r>
      <w:r>
        <w:t xml:space="preserve"> </w:t>
      </w:r>
      <w:r>
        <w:t xml:space="preserve">Modernization Program. These metrics are tracked continuously and</w:t>
      </w:r>
      <w:r>
        <w:t xml:space="preserve"> </w:t>
      </w:r>
      <w:r>
        <w:t xml:space="preserve">reported to the CIO, CISO, and AO on a monthly basis.</w:t>
      </w:r>
    </w:p>
    <w:p>
      <w:pPr>
        <w:pStyle w:val="BodyText"/>
      </w:pPr>
      <w:r>
        <w:rPr>
          <w:b/>
          <w:bCs/>
        </w:rPr>
        <w:t xml:space="preserve">Table 16: Phase 1 Modernization Success Criteria</w:t>
      </w:r>
    </w:p>
    <w:tbl>
      <w:tblPr>
        <w:tblStyle w:val="Table"/>
        <w:tblW w:type="pct" w:w="4881"/>
        <w:tblLayout w:type="fixed"/>
        <w:tblLook w:firstRow="1" w:lastRow="0" w:firstColumn="0" w:lastColumn="0" w:noHBand="0" w:noVBand="0" w:val="0020"/>
      </w:tblPr>
      <w:tblGrid>
        <w:gridCol w:w="1320"/>
        <w:gridCol w:w="1697"/>
        <w:gridCol w:w="2074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Measurement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Reporting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Frequency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Coverage —</w:t>
            </w:r>
            <w:r>
              <w:t xml:space="preserve"> </w:t>
            </w:r>
            <w:r>
              <w:t xml:space="preserve">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active</w:t>
            </w:r>
            <w:r>
              <w:t xml:space="preserve"> </w:t>
            </w:r>
            <w:r>
              <w:t xml:space="preserve">user objects have</w:t>
            </w:r>
            <w:r>
              <w:t xml:space="preserve"> </w:t>
            </w:r>
            <w:r>
              <w:t xml:space="preserve">a valid OrgPath</w:t>
            </w:r>
            <w:r>
              <w:t xml:space="preserve"> </w:t>
            </w: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Scheduled validation</w:t>
            </w:r>
            <w:r>
              <w:t xml:space="preserve"> </w:t>
            </w:r>
            <w:r>
              <w:t xml:space="preserve">script comparing</w:t>
            </w:r>
            <w:r>
              <w:t xml:space="preserve"> </w:t>
            </w:r>
            <w:r>
              <w:t xml:space="preserve">extensionAttribute1</w:t>
            </w:r>
            <w:r>
              <w:t xml:space="preserve"> </w:t>
            </w:r>
            <w:r>
              <w:t xml:space="preserve">against OrgPath</w:t>
            </w:r>
            <w:r>
              <w:t xml:space="preserve"> </w:t>
            </w:r>
            <w:r>
              <w:t xml:space="preserve">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OrgPath</w:t>
            </w:r>
            <w:r>
              <w:t xml:space="preserve"> </w:t>
            </w:r>
            <w:r>
              <w:t xml:space="preserve">Coverage —</w:t>
            </w:r>
            <w:r>
              <w:t xml:space="preserve"> </w:t>
            </w:r>
            <w:r>
              <w:t xml:space="preserve">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managed</w:t>
            </w:r>
            <w:r>
              <w:t xml:space="preserve"> </w:t>
            </w:r>
            <w:r>
              <w:t xml:space="preserve">devices have an</w:t>
            </w:r>
            <w:r>
              <w:t xml:space="preserve"> </w:t>
            </w:r>
            <w:r>
              <w:t xml:space="preserve">assigned device</w:t>
            </w:r>
            <w:r>
              <w:t xml:space="preserve"> </w:t>
            </w:r>
            <w:r>
              <w:t xml:space="preserve">category aligned</w:t>
            </w:r>
            <w:r>
              <w:t xml:space="preserve"> </w:t>
            </w:r>
            <w:r>
              <w:t xml:space="preserve">to OrgPath</w:t>
            </w:r>
            <w:r>
              <w:t xml:space="preserve"> </w:t>
            </w:r>
            <w:r>
              <w:t xml:space="preserve">taxonomy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device</w:t>
            </w:r>
            <w:r>
              <w:t xml:space="preserve"> </w:t>
            </w:r>
            <w:r>
              <w:t xml:space="preserve">inventory report +</w:t>
            </w:r>
            <w:r>
              <w:t xml:space="preserve"> </w:t>
            </w:r>
            <w:r>
              <w:t xml:space="preserve">Arc resource tag</w:t>
            </w:r>
            <w:r>
              <w:t xml:space="preserve"> </w:t>
            </w:r>
            <w:r>
              <w:t xml:space="preserve">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Cloud</w:t>
            </w:r>
            <w:r>
              <w:t xml:space="preserve"> </w:t>
            </w:r>
            <w:r>
              <w:t xml:space="preserve">Sync</w:t>
            </w:r>
            <w:r>
              <w:t xml:space="preserve"> </w:t>
            </w:r>
            <w:r>
              <w:t xml:space="preserve">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Sync</w:t>
            </w:r>
            <w:r>
              <w:t xml:space="preserve"> </w:t>
            </w:r>
            <w:r>
              <w:t xml:space="preserve">operating as sole</w:t>
            </w:r>
            <w:r>
              <w:t xml:space="preserve"> </w:t>
            </w:r>
            <w:r>
              <w:t xml:space="preserve">sync engine</w:t>
            </w:r>
            <w:r>
              <w:t xml:space="preserve"> </w:t>
            </w:r>
            <w:r>
              <w:t xml:space="preserve">(Connect Sync</w:t>
            </w:r>
            <w:r>
              <w:t xml:space="preserve"> </w:t>
            </w:r>
            <w:r>
              <w:t xml:space="preserve">decommissioned)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Cloud Sync</w:t>
            </w:r>
            <w:r>
              <w:t xml:space="preserve"> </w:t>
            </w:r>
            <w:r>
              <w:t xml:space="preserve">provisioning logs;</w:t>
            </w:r>
            <w:r>
              <w:t xml:space="preserve"> </w:t>
            </w:r>
            <w:r>
              <w:t xml:space="preserve">Connect Sync service</w:t>
            </w:r>
            <w:r>
              <w:t xml:space="preserve"> </w:t>
            </w: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GPO Migration</w:t>
            </w:r>
            <w:r>
              <w:t xml:space="preserve"> </w:t>
            </w:r>
            <w:r>
              <w:t xml:space="preserve">Percentage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95% of</w:t>
            </w:r>
            <w:r>
              <w:t xml:space="preserve"> </w:t>
            </w:r>
            <w:r>
              <w:t xml:space="preserve">rationalized GPO</w:t>
            </w:r>
            <w:r>
              <w:t xml:space="preserve"> </w:t>
            </w:r>
            <w:r>
              <w:t xml:space="preserve">settings migrated</w:t>
            </w:r>
            <w:r>
              <w:t xml:space="preserve"> </w:t>
            </w:r>
            <w:r>
              <w:t xml:space="preserve">to 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Conversion</w:t>
            </w:r>
            <w:r>
              <w:t xml:space="preserve"> </w:t>
            </w:r>
            <w:r>
              <w:t xml:space="preserve">Worksheet completion</w:t>
            </w:r>
            <w:r>
              <w:t xml:space="preserve"> </w:t>
            </w:r>
            <w:r>
              <w:t xml:space="preserve">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 Entra</w:t>
            </w:r>
            <w:r>
              <w:t xml:space="preserve"> </w:t>
            </w:r>
            <w:r>
              <w:t xml:space="preserve">Join</w:t>
            </w:r>
            <w:r>
              <w:t xml:space="preserve"> </w:t>
            </w:r>
            <w:r>
              <w:t xml:space="preserve">Percentage</w:t>
            </w:r>
            <w:r>
              <w:t xml:space="preserve"> </w:t>
            </w:r>
            <w:r>
              <w:t xml:space="preserve">(per wave)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Wave 3: 100% of</w:t>
            </w:r>
            <w:r>
              <w:t xml:space="preserve"> </w:t>
            </w:r>
            <w:r>
              <w:t xml:space="preserve">pilot (50–100);</w:t>
            </w:r>
            <w:r>
              <w:t xml:space="preserve"> </w:t>
            </w:r>
            <w:r>
              <w:t xml:space="preserve">Wave 5: 100% per</w:t>
            </w:r>
            <w:r>
              <w:t xml:space="preserve"> </w:t>
            </w:r>
            <w:r>
              <w:t xml:space="preserve">ring completion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device</w:t>
            </w:r>
            <w:r>
              <w:t xml:space="preserve"> </w:t>
            </w:r>
            <w:r>
              <w:t xml:space="preserve">registration report</w:t>
            </w:r>
            <w:r>
              <w:t xml:space="preserve"> </w:t>
            </w:r>
            <w:r>
              <w:t xml:space="preserve">filtered by join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  <w:r>
              <w:t xml:space="preserve"> </w:t>
            </w:r>
            <w:r>
              <w:t xml:space="preserve">(during</w:t>
            </w:r>
            <w:r>
              <w:t xml:space="preserve"> </w:t>
            </w:r>
            <w:r>
              <w:t xml:space="preserve">active waves)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</w:t>
            </w:r>
            <w:r>
              <w:t xml:space="preserve"> </w:t>
            </w:r>
            <w:r>
              <w:t xml:space="preserve">Enrollment</w:t>
            </w:r>
            <w:r>
              <w:t xml:space="preserve"> </w:t>
            </w:r>
            <w:r>
              <w:t xml:space="preserve">— 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in-scope</w:t>
            </w:r>
            <w:r>
              <w:t xml:space="preserve"> </w:t>
            </w:r>
            <w:r>
              <w:t xml:space="preserve">servers enrolled</w:t>
            </w:r>
            <w:r>
              <w:t xml:space="preserve"> </w:t>
            </w:r>
            <w:r>
              <w:t xml:space="preserve">in 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 resource</w:t>
            </w:r>
            <w:r>
              <w:t xml:space="preserve"> </w:t>
            </w:r>
            <w:r>
              <w:t xml:space="preserve">inventory vs. AD</w:t>
            </w:r>
            <w:r>
              <w:t xml:space="preserve"> </w:t>
            </w:r>
            <w:r>
              <w:t xml:space="preserve">server computer</w:t>
            </w:r>
            <w:r>
              <w:t xml:space="preserve"> </w:t>
            </w:r>
            <w:r>
              <w:t xml:space="preserve">object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</w:t>
            </w:r>
            <w:r>
              <w:t xml:space="preserve"> </w:t>
            </w:r>
            <w:r>
              <w:t xml:space="preserve">Operations</w:t>
            </w:r>
            <w:r>
              <w:t xml:space="preserve"> </w:t>
            </w:r>
            <w:r>
              <w:t xml:space="preserve">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Score —</w:t>
            </w:r>
            <w:r>
              <w:t xml:space="preserve"> </w:t>
            </w: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95% of controls</w:t>
            </w:r>
            <w:r>
              <w:t xml:space="preserve"> </w:t>
            </w:r>
            <w:r>
              <w:t xml:space="preserve">passing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assessment</w:t>
            </w:r>
            <w:r>
              <w:t xml:space="preserve"> </w:t>
            </w:r>
            <w:r>
              <w:t xml:space="preserve">output — Entra ID</w:t>
            </w:r>
            <w:r>
              <w:t xml:space="preserve"> </w:t>
            </w:r>
            <w: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Score —</w:t>
            </w:r>
            <w:r>
              <w:t xml:space="preserve"> </w:t>
            </w: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95% of controls</w:t>
            </w:r>
            <w:r>
              <w:t xml:space="preserve"> </w:t>
            </w:r>
            <w:r>
              <w:t xml:space="preserve">passing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assessment</w:t>
            </w:r>
            <w:r>
              <w:t xml:space="preserve"> </w:t>
            </w:r>
            <w:r>
              <w:t xml:space="preserve">output — Exchange</w:t>
            </w:r>
            <w:r>
              <w:t xml:space="preserve"> </w:t>
            </w:r>
            <w:r>
              <w:t xml:space="preserve">Online 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Messaging</w:t>
            </w:r>
            <w:r>
              <w:t xml:space="preserve"> </w:t>
            </w:r>
            <w:r>
              <w:t xml:space="preserve">Team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Score — All</w:t>
            </w:r>
            <w:r>
              <w:t xml:space="preserve"> </w:t>
            </w:r>
            <w:r>
              <w:t xml:space="preserve">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90% of controls</w:t>
            </w:r>
            <w:r>
              <w:t xml:space="preserve"> </w:t>
            </w:r>
            <w:r>
              <w:t xml:space="preserve">passing across</w:t>
            </w:r>
            <w:r>
              <w:t xml:space="preserve"> </w:t>
            </w:r>
            <w:r>
              <w:t xml:space="preserve">all six 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assessment</w:t>
            </w:r>
            <w:r>
              <w:t xml:space="preserve"> </w:t>
            </w:r>
            <w:r>
              <w:t xml:space="preserve">output — aggregate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</w:t>
            </w:r>
            <w:r>
              <w:t xml:space="preserve"> </w:t>
            </w:r>
            <w:r>
              <w:t xml:space="preserve">Detection —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</w:t>
            </w:r>
            <w:r>
              <w:t xml:space="preserve"> </w:t>
            </w:r>
            <w:r>
              <w:t xml:space="preserve">pipeline</w:t>
            </w:r>
            <w:r>
              <w:t xml:space="preserve"> </w:t>
            </w:r>
            <w:r>
              <w:t xml:space="preserve">operating 24/7</w:t>
            </w:r>
            <w:r>
              <w:t xml:space="preserve"> </w:t>
            </w:r>
            <w:r>
              <w:t xml:space="preserve">with automated</w:t>
            </w:r>
            <w:r>
              <w:t xml:space="preserve"> </w:t>
            </w:r>
            <w:r>
              <w:t xml:space="preserve">scheduling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Pipeline health</w:t>
            </w:r>
            <w:r>
              <w:t xml:space="preserve"> </w:t>
            </w:r>
            <w:r>
              <w:t xml:space="preserve">monitoring; scan</w:t>
            </w:r>
            <w:r>
              <w:t xml:space="preserve"> </w:t>
            </w:r>
            <w:r>
              <w:t xml:space="preserve">execution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</w:t>
            </w:r>
            <w:r>
              <w:t xml:space="preserve"> </w:t>
            </w:r>
            <w:r>
              <w:t xml:space="preserve">(automated)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Mean Time to</w:t>
            </w:r>
            <w:r>
              <w:t xml:space="preserve"> </w:t>
            </w:r>
            <w:r>
              <w:t xml:space="preserve">Detect Drift</w:t>
            </w:r>
            <w:r>
              <w:t xml:space="preserve"> </w:t>
            </w:r>
            <w:r>
              <w:t xml:space="preserve">(MTTD)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 24 hours for</w:t>
            </w:r>
            <w:r>
              <w:t xml:space="preserve"> </w:t>
            </w:r>
            <w:r>
              <w:t xml:space="preserve">policy drift; ≤ 8</w:t>
            </w:r>
            <w:r>
              <w:t xml:space="preserve"> </w:t>
            </w:r>
            <w:r>
              <w:t xml:space="preserve">hours for</w:t>
            </w:r>
            <w:r>
              <w:t xml:space="preserve"> </w:t>
            </w:r>
            <w:r>
              <w:t xml:space="preserve">identity drift; ≤</w:t>
            </w:r>
            <w:r>
              <w:t xml:space="preserve"> </w:t>
            </w:r>
            <w:r>
              <w:t xml:space="preserve">8 hours for</w:t>
            </w:r>
            <w:r>
              <w:t xml:space="preserve"> </w:t>
            </w:r>
            <w:r>
              <w:t xml:space="preserve">device 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 finding</w:t>
            </w:r>
            <w:r>
              <w:t xml:space="preserve"> </w:t>
            </w:r>
            <w:r>
              <w:t xml:space="preserve">timestamps —</w:t>
            </w:r>
            <w:r>
              <w:t xml:space="preserve"> </w:t>
            </w:r>
            <w:r>
              <w:t xml:space="preserve">detection time vs.</w:t>
            </w:r>
            <w:r>
              <w:t xml:space="preserve"> </w:t>
            </w:r>
            <w:r>
              <w:t xml:space="preserve">change time (from</w:t>
            </w:r>
            <w:r>
              <w:t xml:space="preserve"> </w:t>
            </w:r>
            <w:r>
              <w:t xml:space="preserve">audit logs)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Mean Time to</w:t>
            </w:r>
            <w:r>
              <w:t xml:space="preserve"> </w:t>
            </w:r>
            <w:r>
              <w:t xml:space="preserve">Remediate</w:t>
            </w:r>
            <w:r>
              <w:t xml:space="preserve"> </w:t>
            </w:r>
            <w:r>
              <w:t xml:space="preserve">Drift (MTTR)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Critical: ≤ 4</w:t>
            </w:r>
            <w:r>
              <w:t xml:space="preserve"> </w:t>
            </w:r>
            <w:r>
              <w:t xml:space="preserve">hours; High: ≤ 24</w:t>
            </w:r>
            <w:r>
              <w:t xml:space="preserve"> </w:t>
            </w:r>
            <w:r>
              <w:t xml:space="preserve">hours; Medium: ≤</w:t>
            </w:r>
            <w:r>
              <w:t xml:space="preserve"> </w:t>
            </w:r>
            <w:r>
              <w:t xml:space="preserve">5 business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 finding</w:t>
            </w:r>
            <w:r>
              <w:t xml:space="preserve"> </w:t>
            </w:r>
            <w:r>
              <w:t xml:space="preserve">lifecycle —</w:t>
            </w:r>
            <w:r>
              <w:t xml:space="preserve"> </w:t>
            </w:r>
            <w:r>
              <w:t xml:space="preserve">detection timestamp</w:t>
            </w:r>
            <w:r>
              <w:t xml:space="preserve"> </w:t>
            </w:r>
            <w:r>
              <w:t xml:space="preserve">to closure 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</w:tr>
    </w:tbl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Appendix A — Glossary</w:t>
      </w:r>
    </w:p>
    <w:tbl>
      <w:tblPr>
        <w:tblStyle w:val="Table"/>
        <w:tblW w:type="pct" w:w="4097"/>
        <w:tblLayout w:type="fixed"/>
        <w:tblLook w:firstRow="1" w:lastRow="0" w:firstColumn="0" w:lastColumn="0" w:noHBand="0" w:noVBand="0" w:val="0020"/>
      </w:tblPr>
      <w:tblGrid>
        <w:gridCol w:w="2090"/>
        <w:gridCol w:w="440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3PAO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Third-Party Assessment Organization. An</w:t>
            </w:r>
            <w:r>
              <w:t xml:space="preserve"> </w:t>
            </w:r>
            <w:r>
              <w:t xml:space="preserve">independent organization accredited to</w:t>
            </w:r>
            <w:r>
              <w:t xml:space="preserve"> </w:t>
            </w:r>
            <w:r>
              <w:t xml:space="preserve">perform FedRAMP security assessments on</w:t>
            </w:r>
            <w:r>
              <w:t xml:space="preserve"> </w:t>
            </w:r>
            <w:r>
              <w:t xml:space="preserve">cloud service offerings.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Administrative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Unit (AU)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Entra ID construct that provides</w:t>
            </w:r>
            <w:r>
              <w:t xml:space="preserve"> </w:t>
            </w:r>
            <w:r>
              <w:t xml:space="preserve">scoped administrative delegation.</w:t>
            </w:r>
            <w:r>
              <w:t xml:space="preserve"> </w:t>
            </w:r>
            <w:r>
              <w:t xml:space="preserve">Administrative Units contain users,</w:t>
            </w:r>
            <w:r>
              <w:t xml:space="preserve"> </w:t>
            </w:r>
            <w:r>
              <w:t xml:space="preserve">groups, or devices and allow role</w:t>
            </w:r>
            <w:r>
              <w:t xml:space="preserve"> </w:t>
            </w:r>
            <w:r>
              <w:t xml:space="preserve">assignments that are limited to the</w:t>
            </w:r>
            <w:r>
              <w:t xml:space="preserve"> </w:t>
            </w:r>
            <w:r>
              <w:t xml:space="preserve">objects within the AU, rather than the</w:t>
            </w:r>
            <w:r>
              <w:t xml:space="preserve"> </w:t>
            </w:r>
            <w:r>
              <w:t xml:space="preserve">entire tenant.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Authorizing Official. The senior</w:t>
            </w:r>
            <w:r>
              <w:t xml:space="preserve"> </w:t>
            </w:r>
            <w:r>
              <w:t xml:space="preserve">federal official who formally assumes</w:t>
            </w:r>
            <w:r>
              <w:t xml:space="preserve"> </w:t>
            </w:r>
            <w:r>
              <w:t xml:space="preserve">responsibility for operating an</w:t>
            </w:r>
            <w:r>
              <w:t xml:space="preserve"> </w:t>
            </w:r>
            <w:r>
              <w:t xml:space="preserve">information system at an acceptable</w:t>
            </w:r>
            <w:r>
              <w:t xml:space="preserve"> </w:t>
            </w:r>
            <w:r>
              <w:t xml:space="preserve">level of risk. The AO authorizes</w:t>
            </w:r>
            <w:r>
              <w:t xml:space="preserve"> </w:t>
            </w:r>
            <w:r>
              <w:t xml:space="preserve">systems to operate and approves risk</w:t>
            </w:r>
            <w:r>
              <w:t xml:space="preserve"> </w:t>
            </w:r>
            <w:r>
              <w:t xml:space="preserve">acceptance decisions.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Microsoft Azure service that projects</w:t>
            </w:r>
            <w:r>
              <w:t xml:space="preserve"> </w:t>
            </w:r>
            <w:r>
              <w:t xml:space="preserve">on-premises, multi-cloud, and edge</w:t>
            </w:r>
            <w:r>
              <w:t xml:space="preserve"> </w:t>
            </w:r>
            <w:r>
              <w:t xml:space="preserve">servers into Azure Resource Manager,</w:t>
            </w:r>
            <w:r>
              <w:t xml:space="preserve"> </w:t>
            </w:r>
            <w:r>
              <w:t xml:space="preserve">enabling Azure management services</w:t>
            </w:r>
            <w:r>
              <w:t xml:space="preserve"> </w:t>
            </w:r>
            <w:r>
              <w:t xml:space="preserve">(Azure Policy, Azure Monitor, Defender</w:t>
            </w:r>
            <w:r>
              <w:t xml:space="preserve"> </w:t>
            </w:r>
            <w:r>
              <w:t xml:space="preserve">for Cloud, Update Manager) on non-Azure</w:t>
            </w:r>
            <w:r>
              <w:t xml:space="preserve"> </w:t>
            </w:r>
            <w:r>
              <w:t xml:space="preserve">infrastructure.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Compliance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Intune policy that defines the</w:t>
            </w:r>
            <w:r>
              <w:t xml:space="preserve"> </w:t>
            </w:r>
            <w:r>
              <w:t xml:space="preserve">minimum security configuration</w:t>
            </w:r>
            <w:r>
              <w:t xml:space="preserve"> </w:t>
            </w:r>
            <w:r>
              <w:t xml:space="preserve">requirements a device must meet to be</w:t>
            </w:r>
            <w:r>
              <w:t xml:space="preserve"> </w:t>
            </w:r>
            <w:r>
              <w:t xml:space="preserve">considered compliant. Non-compliant</w:t>
            </w:r>
            <w:r>
              <w:t xml:space="preserve"> </w:t>
            </w:r>
            <w:r>
              <w:t xml:space="preserve">devices can be blocked from</w:t>
            </w:r>
            <w:r>
              <w:t xml:space="preserve"> </w:t>
            </w:r>
            <w:r>
              <w:t xml:space="preserve">organizational resources via</w:t>
            </w:r>
            <w:r>
              <w:t xml:space="preserve"> </w:t>
            </w:r>
            <w:r>
              <w:t xml:space="preserve">Conditional Access integration.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Conditional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Entra ID capability that enforces</w:t>
            </w:r>
            <w:r>
              <w:t xml:space="preserve"> </w:t>
            </w:r>
            <w:r>
              <w:t xml:space="preserve">access control decisions based on</w:t>
            </w:r>
            <w:r>
              <w:t xml:space="preserve"> </w:t>
            </w:r>
            <w:r>
              <w:t xml:space="preserve">signals such as user identity, device</w:t>
            </w:r>
            <w:r>
              <w:t xml:space="preserve"> </w:t>
            </w:r>
            <w:r>
              <w:t xml:space="preserve">compliance, location, risk level, and</w:t>
            </w:r>
            <w:r>
              <w:t xml:space="preserve"> </w:t>
            </w:r>
            <w:r>
              <w:t xml:space="preserve">application sensitivity. Conditional</w:t>
            </w:r>
            <w:r>
              <w:t xml:space="preserve"> </w:t>
            </w:r>
            <w:r>
              <w:t xml:space="preserve">Access policies are the primary access</w:t>
            </w:r>
            <w:r>
              <w:t xml:space="preserve"> </w:t>
            </w:r>
            <w:r>
              <w:t xml:space="preserve">control mechanism in the cloud-native</w:t>
            </w:r>
            <w:r>
              <w:t xml:space="preserve"> </w:t>
            </w:r>
            <w:r>
              <w:t xml:space="preserve">model.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Configuration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unauthorized or untracked deviation</w:t>
            </w:r>
            <w:r>
              <w:t xml:space="preserve"> </w:t>
            </w:r>
            <w:r>
              <w:t xml:space="preserve">of a system, service, or tenant</w:t>
            </w:r>
            <w:r>
              <w:t xml:space="preserve"> </w:t>
            </w:r>
            <w:r>
              <w:t xml:space="preserve">configuration from its canonical</w:t>
            </w:r>
            <w:r>
              <w:t xml:space="preserve"> </w:t>
            </w:r>
            <w:r>
              <w:t xml:space="preserve">desired state. Drift can be caused by</w:t>
            </w:r>
            <w:r>
              <w:t xml:space="preserve"> </w:t>
            </w:r>
            <w:r>
              <w:t xml:space="preserve">manual changes, automated processes, or</w:t>
            </w:r>
            <w:r>
              <w:t xml:space="preserve"> </w:t>
            </w:r>
            <w:r>
              <w:t xml:space="preserve">synchronization failures.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Configuration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Intune policy that configures</w:t>
            </w:r>
            <w:r>
              <w:t xml:space="preserve"> </w:t>
            </w:r>
            <w:r>
              <w:t xml:space="preserve">specific device settings such as Wi-Fi,</w:t>
            </w:r>
            <w:r>
              <w:t xml:space="preserve"> </w:t>
            </w:r>
            <w:r>
              <w:t xml:space="preserve">VPN, email, certificates, or Windows</w:t>
            </w:r>
            <w:r>
              <w:t xml:space="preserve"> </w:t>
            </w:r>
            <w:r>
              <w:t xml:space="preserve">features. Configuration profiles are</w:t>
            </w:r>
            <w:r>
              <w:t xml:space="preserve"> </w:t>
            </w:r>
            <w:r>
              <w:t xml:space="preserve">the cloud-native replacement for many</w:t>
            </w:r>
            <w:r>
              <w:t xml:space="preserve"> </w:t>
            </w:r>
            <w:r>
              <w:t xml:space="preserve">Group Policy settings.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Desired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canonical, approved configuration</w:t>
            </w:r>
            <w:r>
              <w:t xml:space="preserve"> </w:t>
            </w:r>
            <w:r>
              <w:t xml:space="preserve">of a system, service, or tenant as</w:t>
            </w:r>
            <w:r>
              <w:t xml:space="preserve"> </w:t>
            </w:r>
            <w:r>
              <w:t xml:space="preserve">defined in the UIAO governance</w:t>
            </w:r>
            <w:r>
              <w:t xml:space="preserve"> </w:t>
            </w:r>
            <w:r>
              <w:t xml:space="preserve">registry. The desired state serves as</w:t>
            </w:r>
            <w:r>
              <w:t xml:space="preserve"> </w:t>
            </w:r>
            <w:r>
              <w:t xml:space="preserve">the reference against which drift is</w:t>
            </w:r>
            <w:r>
              <w:t xml:space="preserve"> </w:t>
            </w:r>
            <w:r>
              <w:t xml:space="preserve">measured.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Dynamic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Entra ID security group whose</w:t>
            </w:r>
            <w:r>
              <w:t xml:space="preserve"> </w:t>
            </w:r>
            <w:r>
              <w:t xml:space="preserve">membership is automatically calculated</w:t>
            </w:r>
            <w:r>
              <w:t xml:space="preserve"> </w:t>
            </w:r>
            <w:r>
              <w:t xml:space="preserve">based on attribute-based rules (e.g.,</w:t>
            </w:r>
            <w:r>
              <w:t xml:space="preserve"> </w:t>
            </w:r>
            <w:r>
              <w:t xml:space="preserve">user.department -eq "IT" or</w:t>
            </w:r>
            <w:r>
              <w:t xml:space="preserve"> </w:t>
            </w:r>
            <w:r>
              <w:t xml:space="preserve">device.deviceCategory -eq "Laptop").</w:t>
            </w:r>
            <w:r>
              <w:t xml:space="preserve"> </w:t>
            </w:r>
            <w:r>
              <w:t xml:space="preserve">Dynamic groups eliminate manual group</w:t>
            </w:r>
            <w:r>
              <w:t xml:space="preserve"> </w:t>
            </w:r>
            <w:r>
              <w:t xml:space="preserve">membership management.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Cloud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strategic Microsoft identity</w:t>
            </w:r>
            <w:r>
              <w:t xml:space="preserve"> </w:t>
            </w:r>
            <w:r>
              <w:t xml:space="preserve">synchronization service that uses</w:t>
            </w:r>
            <w:r>
              <w:t xml:space="preserve"> </w:t>
            </w:r>
            <w:r>
              <w:t xml:space="preserve">lightweight, auto-updating provisioning</w:t>
            </w:r>
            <w:r>
              <w:t xml:space="preserve"> </w:t>
            </w:r>
            <w:r>
              <w:t xml:space="preserve">agents with cloud-managed</w:t>
            </w:r>
            <w:r>
              <w:t xml:space="preserve"> </w:t>
            </w:r>
            <w:r>
              <w:t xml:space="preserve">configuration. Cloud Sync supports</w:t>
            </w:r>
            <w:r>
              <w:t xml:space="preserve"> </w:t>
            </w:r>
            <w:r>
              <w:t xml:space="preserve">multi-agent deployment for automatic</w:t>
            </w:r>
            <w:r>
              <w:t xml:space="preserve"> </w:t>
            </w:r>
            <w:r>
              <w:t xml:space="preserve">failover and stores configuration in</w:t>
            </w:r>
            <w:r>
              <w:t xml:space="preserve"> </w:t>
            </w:r>
            <w:r>
              <w:t xml:space="preserve">Entra ID.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Connect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legacy Microsoft identity</w:t>
            </w:r>
            <w:r>
              <w:t xml:space="preserve"> </w:t>
            </w:r>
            <w:r>
              <w:t xml:space="preserve">synchronization application (formerly</w:t>
            </w:r>
            <w:r>
              <w:t xml:space="preserve"> </w:t>
            </w:r>
            <w:r>
              <w:t xml:space="preserve">Azure AD Connect) that runs on a</w:t>
            </w:r>
            <w:r>
              <w:t xml:space="preserve"> </w:t>
            </w:r>
            <w:r>
              <w:t xml:space="preserve">dedicated Windows Server. Connect Sync</w:t>
            </w:r>
            <w:r>
              <w:t xml:space="preserve"> </w:t>
            </w:r>
            <w:r>
              <w:t xml:space="preserve">uses a single-server architecture with</w:t>
            </w:r>
            <w:r>
              <w:t xml:space="preserve"> </w:t>
            </w:r>
            <w:r>
              <w:t xml:space="preserve">optional staging mode for failover and</w:t>
            </w:r>
            <w:r>
              <w:t xml:space="preserve"> </w:t>
            </w:r>
            <w:r>
              <w:t xml:space="preserve">stores configuration locally.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FedRAMP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Federal Risk and Authorization</w:t>
            </w:r>
            <w:r>
              <w:t xml:space="preserve"> </w:t>
            </w:r>
            <w:r>
              <w:t xml:space="preserve">Management Program. A U.S. government</w:t>
            </w:r>
            <w:r>
              <w:t xml:space="preserve"> </w:t>
            </w:r>
            <w:r>
              <w:t xml:space="preserve">program that provides a standardized</w:t>
            </w:r>
            <w:r>
              <w:t xml:space="preserve"> </w:t>
            </w:r>
            <w:r>
              <w:t xml:space="preserve">approach for security assessment,</w:t>
            </w:r>
            <w:r>
              <w:t xml:space="preserve"> </w:t>
            </w:r>
            <w:r>
              <w:t xml:space="preserve">authorization, and continuous</w:t>
            </w:r>
            <w:r>
              <w:t xml:space="preserve"> </w:t>
            </w:r>
            <w:r>
              <w:t xml:space="preserve">monitoring of cloud products and</w:t>
            </w:r>
            <w:r>
              <w:t xml:space="preserve"> </w:t>
            </w:r>
            <w:r>
              <w:t xml:space="preserve">services.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GCC-Moderate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Government Community Cloud at the</w:t>
            </w:r>
            <w:r>
              <w:t xml:space="preserve"> </w:t>
            </w:r>
            <w:r>
              <w:t xml:space="preserve">Moderate impact level. A Microsoft 365</w:t>
            </w:r>
            <w:r>
              <w:t xml:space="preserve"> </w:t>
            </w:r>
            <w:r>
              <w:t xml:space="preserve">cloud environment that meets FedRAMP</w:t>
            </w:r>
            <w:r>
              <w:t xml:space="preserve"> </w:t>
            </w:r>
            <w:r>
              <w:t xml:space="preserve">Moderate requirements, providing</w:t>
            </w:r>
            <w:r>
              <w:t xml:space="preserve"> </w:t>
            </w:r>
            <w:r>
              <w:t xml:space="preserve">compliance isolation for federal and</w:t>
            </w:r>
            <w:r>
              <w:t xml:space="preserve"> </w:t>
            </w:r>
            <w:r>
              <w:t xml:space="preserve">government workloads. In this document,</w:t>
            </w:r>
            <w:r>
              <w:t xml:space="preserve"> </w:t>
            </w:r>
            <w:r>
              <w:t xml:space="preserve">GCC-Moderate applies to M365 SaaS</w:t>
            </w:r>
            <w:r>
              <w:t xml:space="preserve"> </w:t>
            </w:r>
            <w:r>
              <w:t xml:space="preserve">services only.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Group 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feature in Microsoft Intune that</w:t>
            </w:r>
            <w:r>
              <w:t xml:space="preserve"> </w:t>
            </w:r>
            <w:r>
              <w:t xml:space="preserve">imports GPO XML reports and generates</w:t>
            </w:r>
            <w:r>
              <w:t xml:space="preserve"> </w:t>
            </w:r>
            <w:r>
              <w:t xml:space="preserve">MDM compatibility analysis, showing</w:t>
            </w:r>
            <w:r>
              <w:t xml:space="preserve"> </w:t>
            </w:r>
            <w:r>
              <w:t xml:space="preserve">which GPO settings have direct Intune</w:t>
            </w:r>
            <w:r>
              <w:t xml:space="preserve"> </w:t>
            </w:r>
            <w:r>
              <w:t xml:space="preserve">equivalents and which do not.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Information System Security Officer.</w:t>
            </w:r>
            <w:r>
              <w:t xml:space="preserve"> </w:t>
            </w:r>
            <w:r>
              <w:t xml:space="preserve">The individual responsible for ensuring</w:t>
            </w:r>
            <w:r>
              <w:t xml:space="preserve"> </w:t>
            </w:r>
            <w:r>
              <w:t xml:space="preserve">the operational security of an</w:t>
            </w:r>
            <w:r>
              <w:t xml:space="preserve"> </w:t>
            </w:r>
            <w:r>
              <w:t xml:space="preserve">information system, including</w:t>
            </w:r>
            <w:r>
              <w:t xml:space="preserve"> </w:t>
            </w:r>
            <w:r>
              <w:t xml:space="preserve">compliance monitoring, vulnerability</w:t>
            </w:r>
            <w:r>
              <w:t xml:space="preserve"> </w:t>
            </w:r>
            <w:r>
              <w:t xml:space="preserve">management, and security incident</w:t>
            </w:r>
            <w:r>
              <w:t xml:space="preserve"> </w:t>
            </w:r>
            <w:r>
              <w:t xml:space="preserve">response.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Known Folder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Move (KFM)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OneDrive for Business feature that</w:t>
            </w:r>
            <w:r>
              <w:t xml:space="preserve"> </w:t>
            </w:r>
            <w:r>
              <w:t xml:space="preserve">redirects the Windows Desktop,</w:t>
            </w:r>
            <w:r>
              <w:t xml:space="preserve"> </w:t>
            </w:r>
            <w:r>
              <w:t xml:space="preserve">Documents, and Pictures folders to</w:t>
            </w:r>
            <w:r>
              <w:t xml:space="preserve"> </w:t>
            </w:r>
            <w:r>
              <w:t xml:space="preserve">OneDrive, providing automatic cloud</w:t>
            </w:r>
            <w:r>
              <w:t xml:space="preserve"> </w:t>
            </w:r>
            <w:r>
              <w:t xml:space="preserve">backup and enabling seamless data</w:t>
            </w:r>
            <w:r>
              <w:t xml:space="preserve"> </w:t>
            </w:r>
            <w:r>
              <w:t xml:space="preserve">preservation during device migration.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MDM Wins Over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Windows policy setting</w:t>
            </w:r>
            <w:r>
              <w:t xml:space="preserve"> </w:t>
            </w:r>
            <w:r>
              <w:t xml:space="preserve">(ControlPolicyConflict/MDMWinsOverGP)</w:t>
            </w:r>
            <w:r>
              <w:t xml:space="preserve"> </w:t>
            </w:r>
            <w:r>
              <w:t xml:space="preserve">that resolves conflicts between Group</w:t>
            </w:r>
            <w:r>
              <w:t xml:space="preserve"> </w:t>
            </w:r>
            <w:r>
              <w:t xml:space="preserve">Policy and MDM policy in favor of the</w:t>
            </w:r>
            <w:r>
              <w:t xml:space="preserve"> </w:t>
            </w:r>
            <w:r>
              <w:t xml:space="preserve">MDM setting. This is a global toggle</w:t>
            </w:r>
            <w:r>
              <w:t xml:space="preserve"> </w:t>
            </w:r>
            <w:r>
              <w:t xml:space="preserve">required during the hybrid coexistence</w:t>
            </w:r>
            <w:r>
              <w:t xml:space="preserve"> </w:t>
            </w:r>
            <w:r>
              <w:t xml:space="preserve">period.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structured string attribute (format:</w:t>
            </w:r>
            <w:r>
              <w:t xml:space="preserve"> </w:t>
            </w:r>
            <w:r>
              <w:t xml:space="preserve">Region/Division/Department/Function)</w:t>
            </w:r>
            <w:r>
              <w:t xml:space="preserve"> </w:t>
            </w:r>
            <w:r>
              <w:t xml:space="preserve">that encodes organizational hierarchy</w:t>
            </w:r>
            <w:r>
              <w:t xml:space="preserve"> </w:t>
            </w:r>
            <w:r>
              <w:t xml:space="preserve">into a single value carried on user and</w:t>
            </w:r>
            <w:r>
              <w:t xml:space="preserve"> </w:t>
            </w:r>
            <w:r>
              <w:t xml:space="preserve">device objects in Entra ID. OrgPath</w:t>
            </w:r>
            <w:r>
              <w:t xml:space="preserve"> </w:t>
            </w:r>
            <w:r>
              <w:t xml:space="preserve">enables dynamic group membership,</w:t>
            </w:r>
            <w:r>
              <w:t xml:space="preserve"> </w:t>
            </w:r>
            <w:r>
              <w:t xml:space="preserve">Administrative Unit scoping, and policy</w:t>
            </w:r>
            <w:r>
              <w:t xml:space="preserve"> </w:t>
            </w:r>
            <w:r>
              <w:t xml:space="preserve">targeting.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OrgTree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complete hierarchical taxonomy of</w:t>
            </w:r>
            <w:r>
              <w:t xml:space="preserve"> </w:t>
            </w:r>
            <w:r>
              <w:t xml:space="preserve">all valid OrgPath values for the UIAO,</w:t>
            </w:r>
            <w:r>
              <w:t xml:space="preserve"> </w:t>
            </w:r>
            <w:r>
              <w:t xml:space="preserve">maintained as a controlled vocabulary</w:t>
            </w:r>
            <w:r>
              <w:t xml:space="preserve"> </w:t>
            </w:r>
            <w:r>
              <w:t xml:space="preserve">in the UIAO Canon. The OrgTree defines</w:t>
            </w:r>
            <w:r>
              <w:t xml:space="preserve"> </w:t>
            </w:r>
            <w:r>
              <w:t xml:space="preserve">the organizational structure that the</w:t>
            </w:r>
            <w:r>
              <w:t xml:space="preserve"> </w:t>
            </w:r>
            <w:r>
              <w:t xml:space="preserve">OrgPath attribute references.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Cloud Business Applications. A</w:t>
            </w:r>
            <w:r>
              <w:t xml:space="preserve"> </w:t>
            </w:r>
            <w:r>
              <w:t xml:space="preserve">CISA initiative that provides security</w:t>
            </w:r>
            <w:r>
              <w:t xml:space="preserve"> </w:t>
            </w:r>
            <w:r>
              <w:t xml:space="preserve">configuration baselines for Microsoft</w:t>
            </w:r>
            <w:r>
              <w:t xml:space="preserve"> </w:t>
            </w:r>
            <w:r>
              <w:t xml:space="preserve">365 services, along with the ScubaGear</w:t>
            </w:r>
            <w:r>
              <w:t xml:space="preserve"> </w:t>
            </w:r>
            <w:r>
              <w:t xml:space="preserve">assessment tool to verify compliance.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CISA-developed open-source PowerShell</w:t>
            </w:r>
            <w:r>
              <w:t xml:space="preserve"> </w:t>
            </w:r>
            <w:r>
              <w:t xml:space="preserve">assessment tool that evaluates</w:t>
            </w:r>
            <w:r>
              <w:t xml:space="preserve"> </w:t>
            </w:r>
            <w:r>
              <w:t xml:space="preserve">Microsoft 365 tenant configuration</w:t>
            </w:r>
            <w:r>
              <w:t xml:space="preserve"> </w:t>
            </w:r>
            <w:r>
              <w:t xml:space="preserve">against SCuBA baseline documents using</w:t>
            </w:r>
            <w:r>
              <w:t xml:space="preserve"> </w:t>
            </w:r>
            <w:r>
              <w:t xml:space="preserve">the Open Policy Agent (OPA) engine with</w:t>
            </w:r>
            <w:r>
              <w:t xml:space="preserve"> </w:t>
            </w:r>
            <w:r>
              <w:t xml:space="preserve">Rego security policies.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Settings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Catalog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strategic Intune mechanism for</w:t>
            </w:r>
            <w:r>
              <w:t xml:space="preserve"> </w:t>
            </w:r>
            <w:r>
              <w:t xml:space="preserve">granular policy configuration. The</w:t>
            </w:r>
            <w:r>
              <w:t xml:space="preserve"> </w:t>
            </w:r>
            <w:r>
              <w:t xml:space="preserve">Settings Catalog provides a searchable,</w:t>
            </w:r>
            <w:r>
              <w:t xml:space="preserve"> </w:t>
            </w:r>
            <w:r>
              <w:t xml:space="preserve">filterable interface to thousands of</w:t>
            </w:r>
            <w:r>
              <w:t xml:space="preserve"> </w:t>
            </w:r>
            <w:r>
              <w:t xml:space="preserve">individually configurable settings</w:t>
            </w:r>
            <w:r>
              <w:t xml:space="preserve"> </w:t>
            </w:r>
            <w:r>
              <w:t xml:space="preserve">across Windows, macOS, iOS/iPadOS, and</w:t>
            </w:r>
            <w:r>
              <w:t xml:space="preserve"> </w:t>
            </w:r>
            <w:r>
              <w:t xml:space="preserve">Android.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UIAO's governance orchestration</w:t>
            </w:r>
            <w:r>
              <w:t xml:space="preserve"> </w:t>
            </w:r>
            <w:r>
              <w:t xml:space="preserve">layer that sits above CISA ScubaGear.</w:t>
            </w:r>
            <w:r>
              <w:t xml:space="preserve"> </w:t>
            </w:r>
            <w:r>
              <w:t xml:space="preserve">UIAO SCuBA provides continuous drift</w:t>
            </w:r>
            <w:r>
              <w:t xml:space="preserve"> </w:t>
            </w:r>
            <w:r>
              <w:t xml:space="preserve">detection, desired-state management,</w:t>
            </w:r>
            <w:r>
              <w:t xml:space="preserve"> </w:t>
            </w:r>
            <w:r>
              <w:t xml:space="preserve">remediation tracking with SLA</w:t>
            </w:r>
            <w:r>
              <w:t xml:space="preserve"> </w:t>
            </w:r>
            <w:r>
              <w:t xml:space="preserve">enforcement, and machine-trackable</w:t>
            </w:r>
            <w:r>
              <w:t xml:space="preserve"> </w:t>
            </w:r>
            <w:r>
              <w:t xml:space="preserve">governance provenance.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Windows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Autopilot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cloud-native Windows device</w:t>
            </w:r>
            <w:r>
              <w:t xml:space="preserve"> </w:t>
            </w:r>
            <w:r>
              <w:t xml:space="preserve">provisioning service that enables</w:t>
            </w:r>
            <w:r>
              <w:t xml:space="preserve"> </w:t>
            </w:r>
            <w:r>
              <w:t xml:space="preserve">zero-touch deployment. Autopilot uses</w:t>
            </w:r>
            <w:r>
              <w:t xml:space="preserve"> </w:t>
            </w:r>
            <w:r>
              <w:t xml:space="preserve">the device's hardware hash to</w:t>
            </w:r>
            <w:r>
              <w:t xml:space="preserve"> </w:t>
            </w:r>
            <w:r>
              <w:t xml:space="preserve">automatically configure Entra ID join,</w:t>
            </w:r>
            <w:r>
              <w:t xml:space="preserve"> </w:t>
            </w:r>
            <w:r>
              <w:t xml:space="preserve">Intune enrollment, and application</w:t>
            </w:r>
            <w:r>
              <w:t xml:space="preserve"> </w:t>
            </w:r>
            <w:r>
              <w:t xml:space="preserve">installation during the Out-of-Box</w:t>
            </w:r>
            <w:r>
              <w:t xml:space="preserve"> </w:t>
            </w:r>
            <w:r>
              <w:t xml:space="preserve">Experience (OOBE).</w:t>
            </w:r>
          </w:p>
        </w:tc>
      </w:tr>
    </w:tbl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Appendix B — Reference Architecture Summary</w:t>
      </w:r>
    </w:p>
    <w:p>
      <w:pPr>
        <w:pStyle w:val="BodyText"/>
      </w:pPr>
      <w:r>
        <w:t xml:space="preserve">Table 17 provides a single-page summary of all architectural components</w:t>
      </w:r>
      <w:r>
        <w:t xml:space="preserve"> </w:t>
      </w:r>
      <w:r>
        <w:t xml:space="preserve">referenced in this document, their purpose, GCC-Moderate scope,</w:t>
      </w:r>
      <w:r>
        <w:t xml:space="preserve"> </w:t>
      </w:r>
      <w:r>
        <w:t xml:space="preserve">ownership, and current status as of this document's publication date.</w:t>
      </w:r>
    </w:p>
    <w:p>
      <w:pPr>
        <w:pStyle w:val="BodyText"/>
      </w:pPr>
      <w:r>
        <w:rPr>
          <w:b/>
          <w:bCs/>
        </w:rPr>
        <w:t xml:space="preserve">Table 17: Reference Architecture Summary</w:t>
      </w:r>
    </w:p>
    <w:tbl>
      <w:tblPr>
        <w:tblStyle w:val="Table"/>
        <w:tblW w:type="pct" w:w="4878"/>
        <w:tblLayout w:type="fixed"/>
        <w:tblLook w:firstRow="1" w:lastRow="0" w:firstColumn="0" w:lastColumn="0" w:noHBand="0" w:noVBand="0" w:val="0020"/>
      </w:tblPr>
      <w:tblGrid>
        <w:gridCol w:w="1641"/>
        <w:gridCol w:w="1738"/>
        <w:gridCol w:w="1641"/>
        <w:gridCol w:w="1255"/>
        <w:gridCol w:w="144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GCC-Moderate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 Entra</w:t>
            </w:r>
            <w:r>
              <w:t xml:space="preserve"> </w:t>
            </w: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Cloud-native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provider; shared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authority for all</w:t>
            </w:r>
            <w:r>
              <w:t xml:space="preserve"> </w:t>
            </w:r>
            <w:r>
              <w:t xml:space="preserve">modernized</w:t>
            </w:r>
            <w:r>
              <w:t xml:space="preserve"> </w:t>
            </w:r>
            <w:r>
              <w:t xml:space="preserve">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tenant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 Entra</w:t>
            </w:r>
            <w:r>
              <w:t xml:space="preserve"> </w:t>
            </w:r>
            <w:r>
              <w:t xml:space="preserve">Cloud 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Strategic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synchronization</w:t>
            </w:r>
            <w:r>
              <w:t xml:space="preserve"> </w:t>
            </w:r>
            <w:r>
              <w:t xml:space="preserve">from on-premises</w:t>
            </w:r>
            <w:r>
              <w:t xml:space="preserve"> </w:t>
            </w:r>
            <w:r>
              <w:t xml:space="preserve">AD to 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Provisioning</w:t>
            </w:r>
            <w:r>
              <w:t xml:space="preserve"> </w:t>
            </w:r>
            <w:r>
              <w:t xml:space="preserve">agents</w:t>
            </w:r>
            <w:r>
              <w:t xml:space="preserve"> </w:t>
            </w:r>
            <w:r>
              <w:t xml:space="preserve">on-premises;</w:t>
            </w:r>
            <w:r>
              <w:t xml:space="preserve"> </w:t>
            </w:r>
            <w:r>
              <w:t xml:space="preserve">configuration in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 Entra</w:t>
            </w:r>
            <w:r>
              <w:t xml:space="preserve"> </w:t>
            </w:r>
            <w:r>
              <w:t xml:space="preserve">Connect 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identity</w:t>
            </w:r>
            <w:r>
              <w:t xml:space="preserve"> </w:t>
            </w:r>
            <w:r>
              <w:t xml:space="preserve">synchronization</w:t>
            </w:r>
            <w:r>
              <w:t xml:space="preserve"> </w:t>
            </w:r>
            <w:r>
              <w:t xml:space="preserve">(active until</w:t>
            </w:r>
            <w:r>
              <w:t xml:space="preserve"> </w:t>
            </w:r>
            <w:r>
              <w:t xml:space="preserve">Cloud Sync</w:t>
            </w:r>
            <w:r>
              <w:t xml:space="preserve"> </w:t>
            </w:r>
            <w:r>
              <w:t xml:space="preserve">cutover)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On-premises</w:t>
            </w:r>
            <w:r>
              <w:t xml:space="preserve"> </w:t>
            </w:r>
            <w:r>
              <w:t xml:space="preserve">server; syncs to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  <w:r>
              <w:t xml:space="preserve"> </w:t>
            </w:r>
            <w:r>
              <w:t xml:space="preserve">— Planned</w:t>
            </w:r>
            <w:r>
              <w:t xml:space="preserve"> </w:t>
            </w:r>
            <w:r>
              <w:t xml:space="preserve">Decommission</w:t>
            </w:r>
            <w:r>
              <w:t xml:space="preserve"> </w:t>
            </w:r>
            <w:r>
              <w:t xml:space="preserve">(Wave 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 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 endpoint</w:t>
            </w:r>
            <w:r>
              <w:t xml:space="preserve"> </w:t>
            </w:r>
            <w:r>
              <w:t xml:space="preserve">management —</w:t>
            </w:r>
            <w:r>
              <w:t xml:space="preserve"> </w:t>
            </w:r>
            <w:r>
              <w:t xml:space="preserve">compliance,</w:t>
            </w:r>
            <w:r>
              <w:t xml:space="preserve"> </w:t>
            </w:r>
            <w:r>
              <w:t xml:space="preserve">configuration,</w:t>
            </w:r>
            <w:r>
              <w:t xml:space="preserve"> </w:t>
            </w:r>
            <w:r>
              <w:t xml:space="preserve">app deployment,</w:t>
            </w:r>
            <w:r>
              <w:t xml:space="preserve"> </w:t>
            </w:r>
            <w:r>
              <w:t xml:space="preserve">endpoint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tenant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  <w:r>
              <w:t xml:space="preserve"> </w:t>
            </w:r>
            <w:r>
              <w:t xml:space="preserve">— Expanding</w:t>
            </w:r>
            <w:r>
              <w:t xml:space="preserve"> </w:t>
            </w:r>
            <w:r>
              <w:t xml:space="preserve">(Waves 2–5)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</w:t>
            </w:r>
            <w:r>
              <w:t xml:space="preserve"> </w:t>
            </w:r>
            <w:r>
              <w:t xml:space="preserve">infrastructure</w:t>
            </w:r>
            <w:r>
              <w:t xml:space="preserve"> </w:t>
            </w:r>
            <w:r>
              <w:t xml:space="preserve">projection into</w:t>
            </w:r>
            <w:r>
              <w:t xml:space="preserve"> </w:t>
            </w:r>
            <w:r>
              <w:t xml:space="preserve">Azure Resource</w:t>
            </w:r>
            <w:r>
              <w:t xml:space="preserve"> </w:t>
            </w:r>
            <w:r>
              <w:t xml:space="preserve">Manager for</w:t>
            </w:r>
            <w:r>
              <w:t xml:space="preserve"> </w:t>
            </w:r>
            <w:r>
              <w:t xml:space="preserve">cloud-native</w:t>
            </w:r>
            <w:r>
              <w:t xml:space="preserve"> </w:t>
            </w: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agents</w:t>
            </w:r>
            <w:r>
              <w:t xml:space="preserve"> </w:t>
            </w:r>
            <w:r>
              <w:t xml:space="preserve">on-premises;</w:t>
            </w:r>
            <w:r>
              <w:t xml:space="preserve"> </w:t>
            </w:r>
            <w:r>
              <w:t xml:space="preserve">management plane</w:t>
            </w:r>
            <w:r>
              <w:t xml:space="preserve"> </w:t>
            </w:r>
            <w:r>
              <w:t xml:space="preserve">in Azure</w:t>
            </w:r>
            <w:r>
              <w:t xml:space="preserve"> </w:t>
            </w:r>
            <w:r>
              <w:t xml:space="preserve">Government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</w:t>
            </w:r>
            <w:r>
              <w:t xml:space="preserve"> </w:t>
            </w:r>
            <w:r>
              <w:t xml:space="preserve">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Conditional</w:t>
            </w:r>
            <w:r>
              <w:t xml:space="preserve"> </w:t>
            </w:r>
            <w: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Risk-based access</w:t>
            </w:r>
            <w:r>
              <w:t xml:space="preserve"> </w:t>
            </w:r>
            <w:r>
              <w:t xml:space="preserve">control —</w:t>
            </w:r>
            <w:r>
              <w:t xml:space="preserve"> </w:t>
            </w:r>
            <w:r>
              <w:t xml:space="preserve">enforces MFA,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compliance,</w:t>
            </w:r>
            <w:r>
              <w:t xml:space="preserve"> </w:t>
            </w:r>
            <w:r>
              <w:t xml:space="preserve">location, and</w:t>
            </w:r>
            <w:r>
              <w:t xml:space="preserve"> </w:t>
            </w:r>
            <w:r>
              <w:t xml:space="preserve">risk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tenant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  <w:r>
              <w:t xml:space="preserve"> </w:t>
            </w:r>
            <w:r>
              <w:t xml:space="preserve">— Expanding</w:t>
            </w:r>
            <w:r>
              <w:t xml:space="preserve"> </w:t>
            </w:r>
            <w:r>
              <w:t xml:space="preserve">(Wave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Administrative</w:t>
            </w:r>
            <w:r>
              <w:t xml:space="preserve"> </w:t>
            </w:r>
            <w:r>
              <w:t xml:space="preserve">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Scoped delegation</w:t>
            </w:r>
            <w:r>
              <w:t xml:space="preserve"> </w:t>
            </w:r>
            <w:r>
              <w:t xml:space="preserve">of administrative</w:t>
            </w:r>
            <w:r>
              <w:t xml:space="preserve"> </w:t>
            </w:r>
            <w:r>
              <w:t xml:space="preserve">roles aligned to</w:t>
            </w:r>
            <w:r>
              <w:t xml:space="preserve"> </w:t>
            </w:r>
            <w:r>
              <w:t xml:space="preserve">OrgPath taxonomy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Dynamic Security</w:t>
            </w:r>
            <w:r>
              <w:t xml:space="preserve"> </w:t>
            </w:r>
            <w:r>
              <w:t xml:space="preserve">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Attribute-based</w:t>
            </w:r>
            <w:r>
              <w:t xml:space="preserve"> </w:t>
            </w:r>
            <w:r>
              <w:t xml:space="preserve">group membership</w:t>
            </w:r>
            <w:r>
              <w:t xml:space="preserve"> </w:t>
            </w:r>
            <w:r>
              <w:t xml:space="preserve">using OrgPath</w:t>
            </w:r>
            <w:r>
              <w:t xml:space="preserve"> </w:t>
            </w:r>
            <w:r>
              <w:t xml:space="preserve">values for policy</w:t>
            </w:r>
            <w:r>
              <w:t xml:space="preserve"> </w:t>
            </w:r>
            <w:r>
              <w:t xml:space="preserve">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Entra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ID</w:t>
            </w:r>
            <w:r>
              <w:t xml:space="preserve"> </w:t>
            </w:r>
            <w:r>
              <w:t xml:space="preserve">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 packages,</w:t>
            </w:r>
            <w:r>
              <w:t xml:space="preserve"> </w:t>
            </w:r>
            <w:r>
              <w:t xml:space="preserve">entitlement</w:t>
            </w:r>
            <w:r>
              <w:t xml:space="preserve"> </w:t>
            </w:r>
            <w:r>
              <w:t xml:space="preserve">management, and</w:t>
            </w:r>
            <w:r>
              <w:t xml:space="preserve"> </w:t>
            </w:r>
            <w:r>
              <w:t xml:space="preserve">access reviews</w:t>
            </w:r>
            <w:r>
              <w:t xml:space="preserve"> </w:t>
            </w:r>
            <w:r>
              <w:t xml:space="preserve">for identity</w:t>
            </w:r>
            <w:r>
              <w:t xml:space="preserve"> </w:t>
            </w:r>
            <w:r>
              <w:t xml:space="preserve">lifecycle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Entra (P2</w:t>
            </w:r>
            <w:r>
              <w:t xml:space="preserve"> </w:t>
            </w:r>
            <w:r>
              <w:t xml:space="preserve">license</w:t>
            </w:r>
            <w:r>
              <w:t xml:space="preserve"> </w:t>
            </w:r>
            <w:r>
              <w:t xml:space="preserve">required)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Settings Catalog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Granular Intune</w:t>
            </w:r>
            <w:r>
              <w:t xml:space="preserve"> </w:t>
            </w:r>
            <w:r>
              <w:t xml:space="preserve">policy</w:t>
            </w:r>
            <w:r>
              <w:t xml:space="preserve"> </w:t>
            </w:r>
            <w:r>
              <w:t xml:space="preserve">configuration —</w:t>
            </w:r>
            <w:r>
              <w:t xml:space="preserve"> </w:t>
            </w:r>
            <w:r>
              <w:t xml:space="preserve">strategic</w:t>
            </w:r>
            <w:r>
              <w:t xml:space="preserve"> </w:t>
            </w:r>
            <w:r>
              <w:t xml:space="preserve">replacement for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profiles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</w:t>
            </w:r>
            <w:r>
              <w:t xml:space="preserve"> </w:t>
            </w:r>
            <w:r>
              <w:t xml:space="preserve">Autopilot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Zero-touch device</w:t>
            </w:r>
            <w:r>
              <w:t xml:space="preserve"> </w:t>
            </w:r>
            <w:r>
              <w:t xml:space="preserve">provisioning for</w:t>
            </w:r>
            <w:r>
              <w:t xml:space="preserve"> </w:t>
            </w:r>
            <w:r>
              <w:t xml:space="preserve">Entra Joined</w:t>
            </w:r>
            <w:r>
              <w:t xml:space="preserve"> </w:t>
            </w:r>
            <w:r>
              <w:t xml:space="preserve">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Configuring</w:t>
            </w:r>
            <w:r>
              <w:t xml:space="preserve"> </w:t>
            </w:r>
            <w:r>
              <w:t xml:space="preserve">(Wave 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 Update</w:t>
            </w:r>
            <w:r>
              <w:t xml:space="preserve"> </w:t>
            </w:r>
            <w:r>
              <w:t xml:space="preserve">for 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Cloud-managed</w:t>
            </w:r>
            <w:r>
              <w:t xml:space="preserve"> </w:t>
            </w:r>
            <w:r>
              <w:t xml:space="preserve">Windows patching</w:t>
            </w:r>
            <w:r>
              <w:t xml:space="preserve"> </w:t>
            </w:r>
            <w:r>
              <w:t xml:space="preserve">with update rings</w:t>
            </w:r>
            <w:r>
              <w:t xml:space="preserve"> </w:t>
            </w:r>
            <w:r>
              <w:t xml:space="preserve">and feature</w:t>
            </w:r>
            <w:r>
              <w:t xml:space="preserve"> </w:t>
            </w:r>
            <w:r>
              <w:t xml:space="preserve">update 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CISA 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Open-source M365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assessment tool</w:t>
            </w:r>
            <w:r>
              <w:t xml:space="preserve"> </w:t>
            </w:r>
            <w:r>
              <w:t xml:space="preserve">using OPA/Rego</w:t>
            </w:r>
            <w:r>
              <w:t xml:space="preserve"> </w:t>
            </w:r>
            <w:r>
              <w:t xml:space="preserve">policy evaluation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tool</w:t>
            </w:r>
            <w:r>
              <w:t xml:space="preserve"> </w:t>
            </w:r>
            <w:r>
              <w:t xml:space="preserve">executed against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tenant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</w:t>
            </w:r>
            <w:r>
              <w:t xml:space="preserve"> </w:t>
            </w:r>
            <w:r>
              <w:t xml:space="preserve">(Wave 0+)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 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orchestration</w:t>
            </w:r>
            <w:r>
              <w:t xml:space="preserve"> </w:t>
            </w:r>
            <w:r>
              <w:t xml:space="preserve">layer — drift</w:t>
            </w:r>
            <w:r>
              <w:t xml:space="preserve"> </w:t>
            </w:r>
            <w:r>
              <w:t xml:space="preserve">detection,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tracking,</w:t>
            </w:r>
            <w:r>
              <w:t xml:space="preserve"> </w:t>
            </w:r>
            <w:r>
              <w:t xml:space="preserve">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</w:t>
            </w:r>
            <w:r>
              <w:t xml:space="preserve"> </w:t>
            </w:r>
            <w:r>
              <w:t xml:space="preserve">platform</w:t>
            </w:r>
            <w:r>
              <w:t xml:space="preserve"> </w:t>
            </w:r>
            <w:r>
              <w:t xml:space="preserve">consuming</w:t>
            </w:r>
            <w:r>
              <w:t xml:space="preserve"> </w:t>
            </w:r>
            <w:r>
              <w:t xml:space="preserve">ScubaGear</w:t>
            </w:r>
            <w:r>
              <w:t xml:space="preserve"> </w:t>
            </w:r>
            <w:r>
              <w:t xml:space="preserve">outputs from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scans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</w:t>
            </w:r>
            <w:r>
              <w:t xml:space="preserve"> </w:t>
            </w:r>
            <w:r>
              <w:t xml:space="preserve">enforcement for</w:t>
            </w:r>
            <w:r>
              <w:t xml:space="preserve"> </w:t>
            </w:r>
            <w:r>
              <w:t xml:space="preserve">Azure</w:t>
            </w:r>
            <w:r>
              <w:t xml:space="preserve"> </w:t>
            </w:r>
            <w:r>
              <w:t xml:space="preserve">Arc-enrolled</w:t>
            </w:r>
            <w:r>
              <w:t xml:space="preserve"> </w:t>
            </w:r>
            <w:r>
              <w:t xml:space="preserve">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Government</w:t>
            </w:r>
            <w:r>
              <w:t xml:space="preserve"> </w:t>
            </w:r>
            <w:r>
              <w:t xml:space="preserve">subscription</w:t>
            </w:r>
            <w:r>
              <w:t xml:space="preserve"> </w:t>
            </w:r>
            <w:r>
              <w:t xml:space="preserve">aligned to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tenant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</w:t>
            </w:r>
            <w:r>
              <w:t xml:space="preserve"> </w:t>
            </w:r>
            <w:r>
              <w:t xml:space="preserve">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Configuring</w:t>
            </w:r>
            <w:r>
              <w:t xml:space="preserve"> </w:t>
            </w:r>
            <w:r>
              <w:t xml:space="preserve">(Wave 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Monitor /</w:t>
            </w:r>
            <w:r>
              <w:t xml:space="preserve"> </w:t>
            </w:r>
            <w:r>
              <w:t xml:space="preserve">Log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</w:t>
            </w:r>
            <w:r>
              <w:t xml:space="preserve"> </w:t>
            </w:r>
            <w:r>
              <w:t xml:space="preserve">monitoring and</w:t>
            </w:r>
            <w:r>
              <w:t xml:space="preserve"> </w:t>
            </w:r>
            <w:r>
              <w:t xml:space="preserve">log aggregation</w:t>
            </w:r>
            <w:r>
              <w:t xml:space="preserve"> </w:t>
            </w:r>
            <w:r>
              <w:t xml:space="preserve">for Arc-enrolled</w:t>
            </w:r>
            <w:r>
              <w:t xml:space="preserve"> </w:t>
            </w:r>
            <w:r>
              <w:t xml:space="preserve">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Government</w:t>
            </w:r>
            <w:r>
              <w:t xml:space="preserve"> </w:t>
            </w:r>
            <w:r>
              <w:t xml:space="preserve">subscription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</w:t>
            </w:r>
            <w:r>
              <w:t xml:space="preserve"> </w:t>
            </w:r>
            <w:r>
              <w:t xml:space="preserve">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Configuring</w:t>
            </w:r>
            <w:r>
              <w:t xml:space="preserve"> </w:t>
            </w:r>
            <w:r>
              <w:t xml:space="preserve">(Wave 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Cloud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security</w:t>
            </w:r>
            <w:r>
              <w:t xml:space="preserve"> </w:t>
            </w:r>
            <w:r>
              <w:t xml:space="preserve">posture</w:t>
            </w:r>
            <w:r>
              <w:t xml:space="preserve"> </w:t>
            </w:r>
            <w:r>
              <w:t xml:space="preserve">management and</w:t>
            </w:r>
            <w:r>
              <w:t xml:space="preserve"> </w:t>
            </w:r>
            <w:r>
              <w:t xml:space="preserve">workload</w:t>
            </w:r>
            <w:r>
              <w:t xml:space="preserve"> </w:t>
            </w:r>
            <w:r>
              <w:t xml:space="preserve">protection for</w:t>
            </w:r>
            <w:r>
              <w:t xml:space="preserve"> </w:t>
            </w:r>
            <w:r>
              <w:t xml:space="preserve">Arc servers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Government</w:t>
            </w:r>
            <w:r>
              <w:t xml:space="preserve"> </w:t>
            </w:r>
            <w:r>
              <w:t xml:space="preserve">subscription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Configuring</w:t>
            </w:r>
            <w:r>
              <w:t xml:space="preserve"> </w:t>
            </w:r>
            <w:r>
              <w:t xml:space="preserve">(Wave 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ThousandEyes for</w:t>
            </w:r>
            <w:r>
              <w:t xml:space="preserve"> </w:t>
            </w:r>
            <w:r>
              <w:t xml:space="preserve">Government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</w:t>
            </w:r>
            <w:r>
              <w:t xml:space="preserve"> </w:t>
            </w:r>
            <w:r>
              <w:t xml:space="preserve">visibility —</w:t>
            </w:r>
            <w:r>
              <w:t xml:space="preserve"> </w:t>
            </w:r>
            <w:r>
              <w:t xml:space="preserve">path analysis,</w:t>
            </w:r>
            <w:r>
              <w:t xml:space="preserve"> </w:t>
            </w:r>
            <w:r>
              <w:t xml:space="preserve">synthetic</w:t>
            </w:r>
            <w:r>
              <w:t xml:space="preserve"> </w:t>
            </w:r>
            <w:r>
              <w:t xml:space="preserve">monitoring, real</w:t>
            </w:r>
            <w:r>
              <w:t xml:space="preserve"> </w:t>
            </w:r>
            <w:r>
              <w:t xml:space="preserve">user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FedRAMP Moderate</w:t>
            </w:r>
            <w:r>
              <w:t xml:space="preserve"> </w:t>
            </w:r>
            <w:r>
              <w:t xml:space="preserve">SaaS (AWS</w:t>
            </w:r>
            <w:r>
              <w:t xml:space="preserve"> </w:t>
            </w:r>
            <w:r>
              <w:t xml:space="preserve">GovCloud);</w:t>
            </w:r>
            <w:r>
              <w:t xml:space="preserve"> </w:t>
            </w:r>
            <w:r>
              <w:t xml:space="preserve">agents on</w:t>
            </w:r>
            <w:r>
              <w:t xml:space="preserve"> </w:t>
            </w:r>
            <w:r>
              <w:t xml:space="preserve">managed</w:t>
            </w:r>
            <w:r>
              <w:t xml:space="preserve"> </w:t>
            </w: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</w:t>
            </w:r>
            <w:r>
              <w:t xml:space="preserve"> </w:t>
            </w:r>
            <w:r>
              <w:t xml:space="preserve">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Evaluating —</w:t>
            </w:r>
            <w:r>
              <w:t xml:space="preserve"> </w:t>
            </w:r>
            <w:r>
              <w:t xml:space="preserve">Deployment</w:t>
            </w:r>
            <w:r>
              <w:t xml:space="preserve"> </w:t>
            </w: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Universal 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Cloud-managed</w:t>
            </w:r>
            <w:r>
              <w:t xml:space="preserve"> </w:t>
            </w:r>
            <w:r>
              <w:t xml:space="preserve">print service</w:t>
            </w:r>
            <w:r>
              <w:t xml:space="preserve"> </w:t>
            </w:r>
            <w:r>
              <w:t xml:space="preserve">replacing legacy</w:t>
            </w:r>
            <w:r>
              <w:t xml:space="preserve"> </w:t>
            </w:r>
            <w:r>
              <w:t xml:space="preserve">GPO-deployed</w:t>
            </w:r>
            <w:r>
              <w:t xml:space="preserve"> </w:t>
            </w:r>
            <w:r>
              <w:t xml:space="preserve">printer</w:t>
            </w:r>
            <w:r>
              <w:t xml:space="preserve"> </w:t>
            </w:r>
            <w:r>
              <w:t xml:space="preserve">connections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M365 SaaS</w:t>
            </w:r>
            <w:r>
              <w:t xml:space="preserve"> </w:t>
            </w:r>
            <w:r>
              <w:t xml:space="preserve">— GCC-Moderate</w:t>
            </w:r>
            <w:r>
              <w:t xml:space="preserve"> </w:t>
            </w:r>
            <w:r>
              <w:t xml:space="preserve">tenant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Evaluating</w:t>
            </w:r>
            <w:r>
              <w:t xml:space="preserve"> </w:t>
            </w:r>
            <w:r>
              <w:t xml:space="preserve">(Wave 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OrgPath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Controlled</w:t>
            </w:r>
            <w:r>
              <w:t xml:space="preserve"> </w:t>
            </w:r>
            <w:r>
              <w:t xml:space="preserve">vocabulary of all</w:t>
            </w:r>
            <w:r>
              <w:t xml:space="preserve"> </w:t>
            </w:r>
            <w:r>
              <w:t xml:space="preserve">valid OrgPath</w:t>
            </w:r>
            <w:r>
              <w:t xml:space="preserve"> </w:t>
            </w:r>
            <w:r>
              <w:t xml:space="preserve">values,</w:t>
            </w:r>
            <w:r>
              <w:t xml:space="preserve"> </w:t>
            </w:r>
            <w:r>
              <w:t xml:space="preserve">maintained in the</w:t>
            </w:r>
            <w:r>
              <w:t xml:space="preserve"> </w:t>
            </w:r>
            <w:r>
              <w:t xml:space="preserve">UIAO Canon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artifact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Deploying</w:t>
            </w:r>
            <w:r>
              <w:t xml:space="preserve"> </w:t>
            </w:r>
            <w:r>
              <w:t xml:space="preserve">(Wave 0)</w:t>
            </w:r>
          </w:p>
        </w:tc>
      </w:tr>
    </w:tbl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pPr>
        <w:pStyle w:val="BodyText"/>
      </w:pPr>
      <w:r>
        <w:rPr>
          <w:b/>
          <w:bCs/>
        </w:rPr>
        <w:t xml:space="preserve">End of Document</w:t>
      </w:r>
    </w:p>
    <w:p>
      <w:pPr>
        <w:pStyle w:val="BodyText"/>
      </w:pPr>
      <w:r>
        <w:t xml:space="preserve">UIAO Modernization Program — Phase 1: Modernization Mechanics</w:t>
      </w:r>
    </w:p>
    <w:p>
      <w:pPr>
        <w:pStyle w:val="BodyText"/>
      </w:pPr>
      <w:r>
        <w:t xml:space="preserve">Version 1.0 | April 2026 | Controlled</w:t>
      </w:r>
    </w:p>
    <w:p>
      <w:pPr>
        <w:pStyle w:val="BodyText"/>
      </w:pPr>
      <w:r>
        <w:t xml:space="preserve">UIAO Modernization Program — Phase 1: Modernization Mechanics |</w:t>
      </w:r>
      <w:r>
        <w:t xml:space="preserve"> </w:t>
      </w:r>
      <w:r>
        <w:t xml:space="preserve">Controlled | April 2026</w:t>
      </w:r>
    </w:p>
    <w:p>
      <w:r>
        <w:pict>
          <v:rect style="width:0;height:1.5pt" o:hralign="center" o:hrstd="t" o:hr="t"/>
        </w:pict>
      </w:r>
    </w:p>
    <w:bookmarkEnd w:id="92"/>
    <w:bookmarkStart w:id="93" w:name="appendix-f-phase-1-needs-input-register"/>
    <w:p>
      <w:pPr>
        <w:pStyle w:val="Heading2"/>
      </w:pPr>
      <w:r>
        <w:t xml:space="preserve">Appendix F — Phase 1 Needs-Input Register</w:t>
      </w:r>
    </w:p>
    <w:p>
      <w:pPr>
        <w:pStyle w:val="FirstParagraph"/>
      </w:pPr>
      <w:r>
        <w:t xml:space="preserve">The following items remain marked as needing further input or</w:t>
      </w:r>
      <w:r>
        <w:t xml:space="preserve"> </w:t>
      </w:r>
      <w:r>
        <w:t xml:space="preserve">stakeholder review before this document exits DRAFT status: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Production OrgTree values.</w:t>
      </w:r>
      <w:r>
        <w:t xml:space="preserve"> </w:t>
      </w:r>
      <w:r>
        <w:t xml:space="preserve">Region/Division/Department/Function</w:t>
      </w:r>
      <w:r>
        <w:t xml:space="preserve"> </w:t>
      </w:r>
      <w:r>
        <w:t xml:space="preserve">tokens used throughout this document are illustrative samples. The</w:t>
      </w:r>
      <w:r>
        <w:t xml:space="preserve"> </w:t>
      </w:r>
      <w:r>
        <w:t xml:space="preserve">production set must be derived from the Assessment Phase forest</w:t>
      </w:r>
      <w:r>
        <w:t xml:space="preserve"> </w:t>
      </w:r>
      <w:r>
        <w:t xml:space="preserve">analysis and published to</w:t>
      </w:r>
      <w:r>
        <w:t xml:space="preserve"> </w:t>
      </w:r>
      <w:r>
        <w:rPr>
          <w:rStyle w:val="VerbatimChar"/>
        </w:rPr>
        <w:t xml:space="preserve">src/uiao/canon/</w:t>
      </w:r>
      <w:r>
        <w:t xml:space="preserve"> </w:t>
      </w:r>
      <w:r>
        <w:t xml:space="preserve">with a UIAO_NNN</w:t>
      </w:r>
      <w:r>
        <w:t xml:space="preserve"> </w:t>
      </w:r>
      <w:r>
        <w:t xml:space="preserve">allocation.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Per-wave durations.</w:t>
      </w:r>
      <w:r>
        <w:t xml:space="preserve"> </w:t>
      </w:r>
      <w:r>
        <w:t xml:space="preserve">Appendix C carries the original v1.0 duration</w:t>
      </w:r>
      <w:r>
        <w:t xml:space="preserve"> </w:t>
      </w:r>
      <w:r>
        <w:t xml:space="preserve">estimates (e.g.,</w:t>
      </w:r>
      <w:r>
        <w:t xml:space="preserve"> </w:t>
      </w:r>
      <w:r>
        <w:t xml:space="preserve">“4–6 weeks”</w:t>
      </w:r>
      <w:r>
        <w:t xml:space="preserve"> </w:t>
      </w:r>
      <w:r>
        <w:t xml:space="preserve">for Wave 0). These are first-pass</w:t>
      </w:r>
      <w:r>
        <w:t xml:space="preserve"> </w:t>
      </w:r>
      <w:r>
        <w:t xml:space="preserve">planning numbers and require validation against the agency’s actual</w:t>
      </w:r>
      <w:r>
        <w:t xml:space="preserve"> </w:t>
      </w:r>
      <w:r>
        <w:t xml:space="preserve">change-management calendar and resourcing.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Diagram placeholders.</w:t>
      </w:r>
      <w:r>
        <w:t xml:space="preserve"> </w:t>
      </w:r>
      <w:r>
        <w:t xml:space="preserve">The original v1.0 carried six PlantUML</w:t>
      </w:r>
      <w:r>
        <w:t xml:space="preserve"> </w:t>
      </w:r>
      <w:r>
        <w:t xml:space="preserve">diagram placeholders (DIAG-001 through DIAG-006, including the</w:t>
      </w:r>
      <w:r>
        <w:t xml:space="preserve"> </w:t>
      </w:r>
      <w:r>
        <w:t xml:space="preserve">GCC-Moderate Network Visibility Architecture in Appendix B). None are</w:t>
      </w:r>
      <w:r>
        <w:t xml:space="preserve"> </w:t>
      </w:r>
      <w:r>
        <w:t xml:space="preserve">yet rendered. They should be authored under</w:t>
      </w:r>
      <w:r>
        <w:t xml:space="preserve"> </w:t>
      </w:r>
      <w:r>
        <w:rPr>
          <w:rStyle w:val="VerbatimChar"/>
        </w:rPr>
        <w:t xml:space="preserve">docs/figures/phase1/</w:t>
      </w:r>
      <w:r>
        <w:t xml:space="preserve"> </w:t>
      </w:r>
      <w:r>
        <w:t xml:space="preserve">and referenced from this document via Quarto.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Identity Translation table fill-in.</w:t>
      </w:r>
      <w:r>
        <w:t xml:space="preserve"> </w:t>
      </w:r>
      <w:r>
        <w:t xml:space="preserve">Where the original §3 table</w:t>
      </w:r>
      <w:r>
        <w:t xml:space="preserve"> </w:t>
      </w:r>
      <w:r>
        <w:t xml:space="preserve">marked specific attribute mappings, several rows depended on</w:t>
      </w:r>
      <w:r>
        <w:t xml:space="preserve"> </w:t>
      </w:r>
      <w:r>
        <w:t xml:space="preserve">agency-specific schema extensions. Those rows are retained verbatim</w:t>
      </w:r>
      <w:r>
        <w:t xml:space="preserve"> </w:t>
      </w:r>
      <w:r>
        <w:t xml:space="preserve">and need agency review.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Network Visibility tool selection.</w:t>
      </w:r>
      <w:r>
        <w:t xml:space="preserve"> </w:t>
      </w:r>
      <w:r>
        <w:t xml:space="preserve">Appendix B presents</w:t>
      </w:r>
      <w:r>
        <w:t xml:space="preserve"> </w:t>
      </w:r>
      <w:r>
        <w:t xml:space="preserve">ThousandEyes for Government as the primary recommendation. Final</w:t>
      </w:r>
      <w:r>
        <w:t xml:space="preserve"> </w:t>
      </w:r>
      <w:r>
        <w:t xml:space="preserve">selection requires procurement validation and AO concurrence on the</w:t>
      </w:r>
      <w:r>
        <w:t xml:space="preserve"> </w:t>
      </w:r>
      <w:r>
        <w:t xml:space="preserve">FedRAMP-Moderate (March 2026) authorization status.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RACI customization.</w:t>
      </w:r>
      <w:r>
        <w:t xml:space="preserve"> </w:t>
      </w:r>
      <w:r>
        <w:t xml:space="preserve">Appendix D’s RACI matrix lists eight</w:t>
      </w:r>
      <w:r>
        <w:t xml:space="preserve"> </w:t>
      </w:r>
      <w:r>
        <w:t xml:space="preserve">stakeholder columns. Agencies with a different role taxonomy (e.g.,</w:t>
      </w:r>
      <w:r>
        <w:t xml:space="preserve"> </w:t>
      </w:r>
      <w:r>
        <w:t xml:space="preserve">no separate Identity Team) should adjust before adoption.</w:t>
      </w:r>
    </w:p>
    <w:bookmarkEnd w:id="93"/>
    <w:bookmarkEnd w:id="9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image" Id="rId39" Target="media/rId39.png" /><Relationship Type="http://schemas.openxmlformats.org/officeDocument/2006/relationships/image" Id="rId69" Target="media/rId69.png" /><Relationship Type="http://schemas.openxmlformats.org/officeDocument/2006/relationships/image" Id="rId80" Target="media/rId80.png" /><Relationship Type="http://schemas.openxmlformats.org/officeDocument/2006/relationships/image" Id="rId84" Target="media/rId84.png" /><Relationship Type="http://schemas.openxmlformats.org/officeDocument/2006/relationships/image" Id="rId88" Target="media/rId8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1 — Modernization Mechanics</dc:title>
  <dc:creator/>
  <cp:keywords/>
  <dcterms:created xsi:type="dcterms:W3CDTF">2026-05-06T23:14:40Z</dcterms:created>
  <dcterms:modified xsi:type="dcterms:W3CDTF">2026-05-06T23:14:40Z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CIO · CISO · ISSO · AO · 3PAO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inbox/Modernization/Consolidated/UIAO_021_Phase1_Modernization_Mechanics_v1.0_merged.docx</vt:lpwstr>
  </property>
  <property fmtid="{D5CDD505-2E9C-101B-9397-08002B2CF9AE}" pid="6" name="chapter">
    <vt:lpwstr>2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Identity, device, policy, and compliance modernization for GCC-Moderate M365</vt:lpwstr>
  </property>
  <property fmtid="{D5CDD505-2E9C-101B-9397-08002B2CF9AE}" pid="16" name="toc-title">
    <vt:lpwstr>Table of contents</vt:lpwstr>
  </property>
</Properties>
</file>