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Needs-Input Register</w:t>
      </w:r>
    </w:p>
    <w:p>
      <w:pPr>
        <w:pStyle w:val="Subtitle"/>
      </w:pPr>
      <w:r>
        <w:t xml:space="preserve">Cross-document backlog of gaps, MISSING items, and standing-feedback status</w:t>
      </w:r>
    </w:p>
    <w:p>
      <w:pPr>
        <w:pStyle w:val="Date"/>
      </w:pPr>
      <w:r>
        <w:t xml:space="preserve">2026-04-25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9" w:name="cross-cutting-items"/>
    <w:p>
      <w:pPr>
        <w:pStyle w:val="Heading2"/>
      </w:pPr>
      <w:r>
        <w:t xml:space="preserve">1. Cross-cutting items</w:t>
      </w:r>
    </w:p>
    <w:p>
      <w:pPr>
        <w:pStyle w:val="FirstParagraph"/>
      </w:pPr>
      <w:r>
        <w:t xml:space="preserve">These items affect multiple phase documents simultaneously and should be</w:t>
      </w:r>
      <w:r>
        <w:t xml:space="preserve"> </w:t>
      </w:r>
      <w:r>
        <w:t xml:space="preserve">resolved at the program level rather than per-doc.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Affected docs</w:t>
            </w:r>
          </w:p>
        </w:tc>
        <w:tc>
          <w:tcPr/>
          <w:p>
            <w:pPr>
              <w:pStyle w:val="Compact"/>
            </w:pPr>
            <w:r>
              <w:t xml:space="preserve">Action owner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X-01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Classification markings retired</w:t>
            </w:r>
          </w:p>
        </w:tc>
        <w:tc>
          <w:tcPr/>
          <w:p>
            <w:pPr>
              <w:pStyle w:val="Compact"/>
            </w:pPr>
            <w:r>
              <w:t xml:space="preserve">All eight docs</w:t>
            </w:r>
          </w:p>
        </w:tc>
        <w:tc>
          <w:tcPr/>
          <w:p>
            <w:pPr>
              <w:pStyle w:val="Compact"/>
            </w:pPr>
            <w:r>
              <w:t xml:space="preserve">Program Office</w:t>
            </w:r>
          </w:p>
        </w:tc>
        <w:tc>
          <w:tcPr/>
          <w:p>
            <w:pPr>
              <w:pStyle w:val="Compact"/>
            </w:pPr>
            <w:r>
              <w:t xml:space="preserve">Resolved in this consolidation pass — the</w:t>
            </w:r>
            <w:r>
              <w:t xml:space="preserve"> </w:t>
            </w:r>
            <w:r>
              <w:rPr>
                <w:rStyle w:val="VerbatimChar"/>
              </w:rPr>
              <w:t xml:space="preserve">Controlled</w:t>
            </w:r>
            <w:r>
              <w:t xml:space="preserve"> </w:t>
            </w:r>
            <w:r>
              <w:t xml:space="preserve">markings were removed and replaced with the public-release disclaimer. Verify no further references survive prior to formal release.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X-02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Sample-vs-actual OrgTree framing</w:t>
            </w:r>
          </w:p>
        </w:tc>
        <w:tc>
          <w:tcPr/>
          <w:p>
            <w:pPr>
              <w:pStyle w:val="Compact"/>
            </w:pPr>
            <w:r>
              <w:t xml:space="preserve">Phase 1, Phase 0</w:t>
            </w:r>
          </w:p>
        </w:tc>
        <w:tc>
          <w:tcPr/>
          <w:p>
            <w:pPr>
              <w:pStyle w:val="Compact"/>
            </w:pPr>
            <w:r>
              <w:t xml:space="preserve">Assessment Phase team</w:t>
            </w:r>
          </w:p>
        </w:tc>
        <w:tc>
          <w:tcPr/>
          <w:p>
            <w:pPr>
              <w:pStyle w:val="Compact"/>
            </w:pPr>
            <w:r>
              <w:t xml:space="preserve">Phase 1 Rev 0.x feedback called this out; the merged Phase 1 now carries the sample framing. The authoritative production OrgTree is an Assessment-Phase deliverable.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X-03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AD→Entra sync as baseline assumption</w:t>
            </w:r>
            <w:r>
              <w:t xml:space="preserve"> </w:t>
            </w:r>
            <w:r>
              <w:t xml:space="preserve">✓ Resolved</w:t>
            </w:r>
          </w:p>
        </w:tc>
        <w:tc>
          <w:tcPr/>
          <w:p>
            <w:pPr>
              <w:pStyle w:val="Compact"/>
            </w:pPr>
            <w:r>
              <w:t xml:space="preserve">Phase 1 (§5 Identity), Phase 0 (§2.1 Identity Plane)</w:t>
            </w:r>
          </w:p>
        </w:tc>
        <w:tc>
          <w:tcPr/>
          <w:p>
            <w:pPr>
              <w:pStyle w:val="Compact"/>
            </w:pPr>
            <w:r>
              <w:t xml:space="preserve">Identity Team</w:t>
            </w:r>
          </w:p>
        </w:tc>
        <w:tc>
          <w:tcPr/>
          <w:p>
            <w:pPr>
              <w:pStyle w:val="Compact"/>
            </w:pPr>
            <w:r>
              <w:t xml:space="preserve">Per Rev 0x feedback #2: agencies operating M365 / Azure already have AD→Entra sync. Resolved in both the merged Phase 1 (Editorial Note) and Phase 0 §2.1 (now carries an explicit</w:t>
            </w:r>
            <w:r>
              <w:t xml:space="preserve"> </w:t>
            </w:r>
            <w:r>
              <w:t xml:space="preserve">“Baseline assumption — AD→Entra ID synchronization is already operational”</w:t>
            </w:r>
            <w:r>
              <w:t xml:space="preserve"> </w:t>
            </w:r>
            <w:r>
              <w:t xml:space="preserve">callout).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X-04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Customer-doc series — registry allocation</w:t>
            </w:r>
            <w:r>
              <w:t xml:space="preserve"> </w:t>
            </w:r>
            <w:r>
              <w:t xml:space="preserve">✓ Resolved by design</w:t>
            </w:r>
          </w:p>
        </w:tc>
        <w:tc>
          <w:tcPr/>
          <w:p>
            <w:pPr>
              <w:pStyle w:val="Compact"/>
            </w:pPr>
            <w:r>
              <w:t xml:space="preserve">Phase 0–5 + appendices</w:t>
            </w:r>
          </w:p>
        </w:tc>
        <w:tc>
          <w:tcPr/>
          <w:p>
            <w:pPr>
              <w:pStyle w:val="Compact"/>
            </w:pPr>
            <w:r>
              <w:t xml:space="preserve">Canon Steward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Decision: no allocation in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src/uiao/canon/document-registry.yaml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is required.</w:t>
            </w:r>
            <w:r>
              <w:t xml:space="preserve"> </w:t>
            </w:r>
            <w:r>
              <w:t xml:space="preserve">The eight chapters were placed under</w:t>
            </w:r>
            <w:r>
              <w:t xml:space="preserve"> </w:t>
            </w:r>
            <w:r>
              <w:rPr>
                <w:rStyle w:val="VerbatimChar"/>
              </w:rPr>
              <w:t xml:space="preserve">docs/customer-documents/modernization/uiao-modernization-program/</w:t>
            </w:r>
            <w:r>
              <w:t xml:space="preserve"> </w:t>
            </w:r>
            <w:r>
              <w:t xml:space="preserve">as a customer-document series, which is the</w:t>
            </w:r>
            <w:r>
              <w:t xml:space="preserve"> </w:t>
            </w:r>
            <w:r>
              <w:rPr>
                <w:b/>
                <w:bCs/>
              </w:rPr>
              <w:t xml:space="preserve">DERIVED</w:t>
            </w:r>
            <w:r>
              <w:t xml:space="preserve"> </w:t>
            </w:r>
            <w:r>
              <w:t xml:space="preserve">authority tier per</w:t>
            </w:r>
            <w:r>
              <w:t xml:space="preserve"> </w:t>
            </w:r>
            <w:r>
              <w:rPr>
                <w:rStyle w:val="VerbatimChar"/>
              </w:rPr>
              <w:t xml:space="preserve">src/uiao/schemas/metadata-schema.json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classification: DERIVED</w:t>
            </w:r>
            <w:r>
              <w:t xml:space="preserve">), not the</w:t>
            </w:r>
            <w:r>
              <w:t xml:space="preserve"> </w:t>
            </w:r>
            <w:r>
              <w:rPr>
                <w:b/>
                <w:bCs/>
              </w:rPr>
              <w:t xml:space="preserve">CANONICAL</w:t>
            </w:r>
            <w:r>
              <w:t xml:space="preserve"> </w:t>
            </w:r>
            <w:r>
              <w:t xml:space="preserve">tier. The existing registry is scoped to canonical documents under</w:t>
            </w:r>
            <w:r>
              <w:t xml:space="preserve"> </w:t>
            </w:r>
            <w:r>
              <w:rPr>
                <w:rStyle w:val="VerbatimChar"/>
              </w:rPr>
              <w:t xml:space="preserve">src/uiao/canon/</w:t>
            </w:r>
            <w:r>
              <w:t xml:space="preserve">. If a future governance decision elevates any of these chapters to canon, allocate UIAO_NNN IDs at that time and move the source from</w:t>
            </w:r>
            <w:r>
              <w:t xml:space="preserve"> </w:t>
            </w:r>
            <w:r>
              <w:rPr>
                <w:rStyle w:val="VerbatimChar"/>
              </w:rPr>
              <w:t xml:space="preserve">docs/customer-documents/</w:t>
            </w:r>
            <w:r>
              <w:t xml:space="preserve"> </w:t>
            </w:r>
            <w:r>
              <w:t xml:space="preserve">to</w:t>
            </w:r>
            <w:r>
              <w:t xml:space="preserve"> </w:t>
            </w:r>
            <w:r>
              <w:rPr>
                <w:rStyle w:val="VerbatimChar"/>
              </w:rPr>
              <w:t xml:space="preserve">src/uiao/canon/</w:t>
            </w:r>
            <w:r>
              <w:t xml:space="preserve"> </w:t>
            </w:r>
            <w:r>
              <w:t xml:space="preserve">per ADR process. The customer-doc series itself does not need IDs; chapters reference their canon sources via the</w:t>
            </w:r>
            <w:r>
              <w:t xml:space="preserve"> </w:t>
            </w:r>
            <w:r>
              <w:rPr>
                <w:rStyle w:val="VerbatimChar"/>
              </w:rPr>
              <w:t xml:space="preserve">canon-source</w:t>
            </w:r>
            <w:r>
              <w:t xml:space="preserve"> </w:t>
            </w:r>
            <w:r>
              <w:t xml:space="preserve">frontmatter field.</w:t>
            </w:r>
          </w:p>
        </w:tc>
      </w:tr>
      <w:tr>
        <w:tc>
          <w:tcPr/>
          <w:p>
            <w:pPr>
              <w:pStyle w:val="Compact"/>
            </w:pPr>
            <w:r>
              <w:t xml:space="preserve">X-05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Lifecycle-state extension in registry</w:t>
            </w:r>
          </w:p>
        </w:tc>
        <w:tc>
          <w:tcPr/>
          <w:p>
            <w:pPr>
              <w:pStyle w:val="Compact"/>
            </w:pPr>
            <w:r>
              <w:t xml:space="preserve">Phase 5 §3.1 / 3.2</w:t>
            </w:r>
          </w:p>
        </w:tc>
        <w:tc>
          <w:tcPr/>
          <w:p>
            <w:pPr>
              <w:pStyle w:val="Compact"/>
            </w:pPr>
            <w:r>
              <w:t xml:space="preserve">Canon Steward + governance review</w:t>
            </w:r>
          </w:p>
        </w:tc>
        <w:tc>
          <w:tcPr/>
          <w:p>
            <w:pPr>
              <w:pStyle w:val="Compact"/>
            </w:pPr>
            <w:r>
              <w:t xml:space="preserve">Phase 5 proposes DRAFT / ACTIVE / DEPRECATED / ARCHIVED states with</w:t>
            </w:r>
            <w:r>
              <w:t xml:space="preserve"> </w:t>
            </w:r>
            <w:r>
              <w:rPr>
                <w:rStyle w:val="VerbatimChar"/>
              </w:rPr>
              <w:t xml:space="preserve">superseded_by</w:t>
            </w:r>
            <w:r>
              <w:t xml:space="preserve"> </w:t>
            </w:r>
            <w:r>
              <w:t xml:space="preserve">pointers. The current registry only carries</w:t>
            </w:r>
            <w:r>
              <w:t xml:space="preserve"> </w:t>
            </w:r>
            <w:r>
              <w:rPr>
                <w:rStyle w:val="VerbatimChar"/>
              </w:rPr>
              <w:t xml:space="preserve">status: Current\|Draft</w:t>
            </w:r>
            <w:r>
              <w:t xml:space="preserve">. Schema extension required.</w:t>
            </w:r>
          </w:p>
        </w:tc>
      </w:tr>
      <w:tr>
        <w:tc>
          <w:tcPr/>
          <w:p>
            <w:pPr>
              <w:pStyle w:val="Compact"/>
            </w:pPr>
            <w:r>
              <w:t xml:space="preserve">X-06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Diagram backlog</w:t>
            </w:r>
          </w:p>
        </w:tc>
        <w:tc>
          <w:tcPr/>
          <w:p>
            <w:pPr>
              <w:pStyle w:val="Compact"/>
            </w:pPr>
            <w:r>
              <w:t xml:space="preserve">Phase 1 (DIAG-001..006), Phase 3 (P3-D-001..004), Phase 4 (multiple), Phase 5 (P5_DIA_001..004)</w:t>
            </w:r>
          </w:p>
        </w:tc>
        <w:tc>
          <w:tcPr/>
          <w:p>
            <w:pPr>
              <w:pStyle w:val="Compact"/>
            </w:pPr>
            <w:r>
              <w:t xml:space="preserve">Visual production</w:t>
            </w:r>
          </w:p>
        </w:tc>
        <w:tc>
          <w:tcPr/>
          <w:p>
            <w:pPr>
              <w:pStyle w:val="Compact"/>
            </w:pPr>
            <w:r>
              <w:t xml:space="preserve">All inline</w:t>
            </w:r>
            <w:r>
              <w:t xml:space="preserve"> </w:t>
            </w:r>
            <w:r>
              <w:rPr>
                <w:rStyle w:val="VerbatimChar"/>
              </w:rPr>
              <w:t xml:space="preserve">[PLACEHOLDER --- DIAG / P3-D / P5_DIA]</w:t>
            </w:r>
            <w:r>
              <w:t xml:space="preserve"> </w:t>
            </w:r>
            <w:r>
              <w:t xml:space="preserve">blocks need PlantUML/Quarto authoring under</w:t>
            </w:r>
            <w:r>
              <w:t xml:space="preserve"> </w:t>
            </w:r>
            <w:r>
              <w:rPr>
                <w:rStyle w:val="VerbatimChar"/>
              </w:rPr>
              <w:t xml:space="preserve">docs/figures/</w:t>
            </w:r>
            <w:r>
              <w:t xml:space="preserve">. Estimated: 18+ diagrams across the corpus.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X-07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Tables marked MISSING</w:t>
            </w:r>
          </w:p>
        </w:tc>
        <w:tc>
          <w:tcPr/>
          <w:p>
            <w:pPr>
              <w:pStyle w:val="Compact"/>
            </w:pPr>
            <w:r>
              <w:t xml:space="preserve">Phase 5 (P5_TBL_001 — Artifact Consolidation Status Matrix), Phase 3 (multiple risk-table cells)</w:t>
            </w:r>
          </w:p>
        </w:tc>
        <w:tc>
          <w:tcPr/>
          <w:p>
            <w:pPr>
              <w:pStyle w:val="Compact"/>
            </w:pPr>
            <w:r>
              <w:t xml:space="preserve">Phase 5 / Phase 3 leads</w:t>
            </w:r>
          </w:p>
        </w:tc>
        <w:tc>
          <w:tcPr/>
          <w:p>
            <w:pPr>
              <w:pStyle w:val="Compact"/>
            </w:pPr>
            <w:r>
              <w:t xml:space="preserve">The Phase 5 P5_TBL_001</w:t>
            </w:r>
            <w:r>
              <w:t xml:space="preserve"> </w:t>
            </w:r>
            <w:r>
              <w:rPr>
                <w:i/>
                <w:iCs/>
              </w:rPr>
              <w:t xml:space="preserve">Artifact Consolidation Status Matrix</w:t>
            </w:r>
            <w:r>
              <w:t xml:space="preserve"> </w:t>
            </w:r>
            <w:r>
              <w:t xml:space="preserve">requires a canon/ directory scan to populate. Several Phase 3 risk-register cells flag</w:t>
            </w:r>
            <w:r>
              <w:t xml:space="preserve"> </w:t>
            </w:r>
            <w:r>
              <w:rPr>
                <w:rStyle w:val="VerbatimChar"/>
              </w:rPr>
              <w:t xml:space="preserve">[MISSING — drift threshold]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[MISSING — SLA value]</w:t>
            </w:r>
            <w:r>
              <w:t xml:space="preserve"> </w:t>
            </w:r>
            <w:r>
              <w:t xml:space="preserve">etc. — see §3 below for full list.</w:t>
            </w:r>
          </w:p>
        </w:tc>
      </w:tr>
    </w:tbl>
    <w:bookmarkEnd w:id="9"/>
    <w:bookmarkStart w:id="18" w:name="per-document-needs-input-cross-reference"/>
    <w:p>
      <w:pPr>
        <w:pStyle w:val="Heading2"/>
      </w:pPr>
      <w:r>
        <w:t xml:space="preserve">2. Per-document needs-input (cross-reference)</w:t>
      </w:r>
    </w:p>
    <w:bookmarkStart w:id="10" w:name="program-overview-uiao_010"/>
    <w:p>
      <w:pPr>
        <w:pStyle w:val="Heading3"/>
      </w:pPr>
      <w:r>
        <w:t xml:space="preserve">Program Overview (UIAO_010)</w:t>
      </w:r>
    </w:p>
    <w:p>
      <w:pPr>
        <w:pStyle w:val="Compact"/>
        <w:numPr>
          <w:ilvl w:val="0"/>
          <w:numId w:val="1001"/>
        </w:numPr>
      </w:pPr>
      <w:r>
        <w:t xml:space="preserve">No internal MISSING / PLACEHOLDER markers. Document is ready for</w:t>
      </w:r>
      <w:r>
        <w:t xml:space="preserve"> </w:t>
      </w:r>
      <w:r>
        <w:t xml:space="preserve">release pending program-level cross-reference verification.</w:t>
      </w:r>
    </w:p>
    <w:bookmarkEnd w:id="10"/>
    <w:bookmarkStart w:id="11" w:name="phase-0-master-plan-uiao_020"/>
    <w:p>
      <w:pPr>
        <w:pStyle w:val="Heading3"/>
      </w:pPr>
      <w:r>
        <w:t xml:space="preserve">Phase 0 — Master Plan (UIAO_020)</w:t>
      </w:r>
    </w:p>
    <w:p>
      <w:pPr>
        <w:pStyle w:val="Compact"/>
        <w:numPr>
          <w:ilvl w:val="0"/>
          <w:numId w:val="1002"/>
        </w:numPr>
      </w:pPr>
      <w:r>
        <w:t xml:space="preserve">No internal MISSING / PLACEHOLDER markers.</w:t>
      </w:r>
    </w:p>
    <w:p>
      <w:pPr>
        <w:pStyle w:val="Compact"/>
        <w:numPr>
          <w:ilvl w:val="0"/>
          <w:numId w:val="1002"/>
        </w:numPr>
      </w:pPr>
      <w:r>
        <w:t xml:space="preserve">✓ §2.1 Identity Plane updated to acknowledge AD→Entra sync as</w:t>
      </w:r>
      <w:r>
        <w:t xml:space="preserve"> </w:t>
      </w:r>
      <w:r>
        <w:t xml:space="preserve">baseline assumption (cross-cutting item X-03 resolved).</w:t>
      </w:r>
    </w:p>
    <w:p>
      <w:pPr>
        <w:pStyle w:val="Compact"/>
        <w:numPr>
          <w:ilvl w:val="0"/>
          <w:numId w:val="1002"/>
        </w:numPr>
      </w:pPr>
      <w:r>
        <w:t xml:space="preserve">§6c Compliance and ATO Plan references a</w:t>
      </w:r>
      <w:r>
        <w:t xml:space="preserve"> </w:t>
      </w:r>
      <w:r>
        <w:t xml:space="preserve">“3PAO engagement plan”</w:t>
      </w:r>
      <w:r>
        <w:t xml:space="preserve"> </w:t>
      </w:r>
      <w:r>
        <w:t xml:space="preserve">that</w:t>
      </w:r>
      <w:r>
        <w:t xml:space="preserve"> </w:t>
      </w:r>
      <w:r>
        <w:t xml:space="preserve">is not yet drafted — this is an external dependency, not a doc gap.</w:t>
      </w:r>
    </w:p>
    <w:bookmarkEnd w:id="11"/>
    <w:bookmarkStart w:id="12" w:name="X9d1c58797617bd078611c96507230ac4412c930"/>
    <w:p>
      <w:pPr>
        <w:pStyle w:val="Heading3"/>
      </w:pPr>
      <w:r>
        <w:t xml:space="preserve">Phase 1 — Modernization Mechanics (UIAO_021,</w:t>
      </w:r>
      <w:r>
        <w:t xml:space="preserve"> </w:t>
      </w:r>
      <w:r>
        <w:rPr>
          <w:b/>
          <w:bCs/>
        </w:rPr>
        <w:t xml:space="preserve">merged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t xml:space="preserve">6 explicit needs-input items in the document’s own Appendix F</w:t>
      </w:r>
      <w:r>
        <w:t xml:space="preserve"> </w:t>
      </w:r>
      <w:r>
        <w:t xml:space="preserve">(Production OrgTree values, per-wave durations, diagrams, identity</w:t>
      </w:r>
      <w:r>
        <w:t xml:space="preserve"> </w:t>
      </w:r>
      <w:r>
        <w:t xml:space="preserve">translation table fill-in, network-visibility tool selection,</w:t>
      </w:r>
      <w:r>
        <w:t xml:space="preserve"> </w:t>
      </w:r>
      <w:r>
        <w:t xml:space="preserve">RACI customization).</w:t>
      </w:r>
    </w:p>
    <w:bookmarkEnd w:id="12"/>
    <w:bookmarkStart w:id="13" w:name="Xb243d7bddc356f39b877612415d0346751527b7"/>
    <w:p>
      <w:pPr>
        <w:pStyle w:val="Heading3"/>
      </w:pPr>
      <w:r>
        <w:t xml:space="preserve">Phase 2 — Governance OS Deployment (UIAO_022)</w:t>
      </w:r>
    </w:p>
    <w:p>
      <w:pPr>
        <w:pStyle w:val="Compact"/>
        <w:numPr>
          <w:ilvl w:val="0"/>
          <w:numId w:val="1004"/>
        </w:numPr>
      </w:pPr>
      <w:r>
        <w:t xml:space="preserve">No</w:t>
      </w:r>
      <w:r>
        <w:t xml:space="preserve"> </w:t>
      </w:r>
      <w:r>
        <w:rPr>
          <w:rStyle w:val="VerbatimChar"/>
        </w:rPr>
        <w:t xml:space="preserve">MISSING</w:t>
      </w:r>
      <w:r>
        <w:t xml:space="preserve"> </w:t>
      </w:r>
      <w:r>
        <w:t xml:space="preserve">markers found in the cleaned text, but the original</w:t>
      </w:r>
      <w:r>
        <w:t xml:space="preserve"> </w:t>
      </w:r>
      <w:r>
        <w:t xml:space="preserve">carried multiple</w:t>
      </w:r>
      <w:r>
        <w:t xml:space="preserve"> </w:t>
      </w:r>
      <w:r>
        <w:rPr>
          <w:rStyle w:val="VerbatimChar"/>
        </w:rPr>
        <w:t xml:space="preserve">[NEW (Proposed)]</w:t>
      </w:r>
      <w:r>
        <w:t xml:space="preserve"> </w:t>
      </w:r>
      <w:r>
        <w:t xml:space="preserve">proposals (e.g., OSCAL component</w:t>
      </w:r>
      <w:r>
        <w:t xml:space="preserve"> </w:t>
      </w:r>
      <w:r>
        <w:t xml:space="preserve">generation cadence, Sentinel correlation rule pack) that need</w:t>
      </w:r>
      <w:r>
        <w:t xml:space="preserve"> </w:t>
      </w:r>
      <w:r>
        <w:t xml:space="preserve">governance review before being treated as canonical.</w:t>
      </w:r>
    </w:p>
    <w:p>
      <w:pPr>
        <w:pStyle w:val="Compact"/>
        <w:numPr>
          <w:ilvl w:val="0"/>
          <w:numId w:val="1004"/>
        </w:numPr>
      </w:pPr>
      <w:r>
        <w:t xml:space="preserve">Specific gap: target engagement channels (cisagov/ScubaGear,</w:t>
      </w:r>
      <w:r>
        <w:t xml:space="preserve"> </w:t>
      </w:r>
      <w:r>
        <w:t xml:space="preserve">FedRAMP RFCs, FSCAC/CISA) listed in §1 are aspirational — no formal</w:t>
      </w:r>
      <w:r>
        <w:t xml:space="preserve"> </w:t>
      </w:r>
      <w:r>
        <w:t xml:space="preserve">agency outreach commitments documented.</w:t>
      </w:r>
    </w:p>
    <w:bookmarkEnd w:id="13"/>
    <w:bookmarkStart w:id="14" w:name="Xa4bb21cc7f6fdcde34787f8439bdfee2e704837"/>
    <w:p>
      <w:pPr>
        <w:pStyle w:val="Heading3"/>
      </w:pPr>
      <w:r>
        <w:t xml:space="preserve">Phase 3 — Optimization &amp; Continuous ATO (UIAO_023)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48 gap markers</w:t>
      </w:r>
      <w:r>
        <w:t xml:space="preserve"> </w:t>
      </w:r>
      <w:r>
        <w:t xml:space="preserve">including:</w:t>
      </w:r>
    </w:p>
    <w:p>
      <w:pPr>
        <w:pStyle w:val="Compact"/>
        <w:numPr>
          <w:ilvl w:val="1"/>
          <w:numId w:val="1006"/>
        </w:numPr>
      </w:pPr>
      <w:r>
        <w:rPr>
          <w:rStyle w:val="VerbatimChar"/>
        </w:rPr>
        <w:t xml:space="preserve">[PLACEHOLDER --- P3-D-001..004]</w:t>
      </w:r>
      <w:r>
        <w:t xml:space="preserve"> </w:t>
      </w:r>
      <w:r>
        <w:t xml:space="preserve">(4 PlantUML diagrams)</w:t>
      </w:r>
    </w:p>
    <w:p>
      <w:pPr>
        <w:pStyle w:val="Compact"/>
        <w:numPr>
          <w:ilvl w:val="1"/>
          <w:numId w:val="1006"/>
        </w:numPr>
      </w:pPr>
      <w:r>
        <w:rPr>
          <w:rStyle w:val="VerbatimChar"/>
        </w:rPr>
        <w:t xml:space="preserve">[MISSING — drift threshold values]</w:t>
      </w:r>
      <w:r>
        <w:t xml:space="preserve"> </w:t>
      </w:r>
      <w:r>
        <w:t xml:space="preserve">for multiple drift classes</w:t>
      </w:r>
    </w:p>
    <w:p>
      <w:pPr>
        <w:pStyle w:val="Compact"/>
        <w:numPr>
          <w:ilvl w:val="1"/>
          <w:numId w:val="1006"/>
        </w:numPr>
      </w:pPr>
      <w:r>
        <w:rPr>
          <w:rStyle w:val="VerbatimChar"/>
        </w:rPr>
        <w:t xml:space="preserve">[MISSING — SLA threshold values]</w:t>
      </w:r>
      <w:r>
        <w:t xml:space="preserve"> </w:t>
      </w:r>
      <w:r>
        <w:t xml:space="preserve">for multiple control families</w:t>
      </w:r>
    </w:p>
    <w:p>
      <w:pPr>
        <w:pStyle w:val="Compact"/>
        <w:numPr>
          <w:ilvl w:val="1"/>
          <w:numId w:val="1006"/>
        </w:numPr>
      </w:pPr>
      <w:r>
        <w:rPr>
          <w:rStyle w:val="VerbatimChar"/>
        </w:rPr>
        <w:t xml:space="preserve">[MISSING — AO-specific acceptance criteria]</w:t>
      </w:r>
      <w:r>
        <w:t xml:space="preserve"> </w:t>
      </w:r>
      <w:r>
        <w:t xml:space="preserve">for cATO Acceptance Package</w:t>
      </w:r>
    </w:p>
    <w:p>
      <w:pPr>
        <w:pStyle w:val="Compact"/>
        <w:numPr>
          <w:ilvl w:val="1"/>
          <w:numId w:val="1006"/>
        </w:numPr>
      </w:pPr>
      <w:r>
        <w:rPr>
          <w:rStyle w:val="VerbatimChar"/>
        </w:rPr>
        <w:t xml:space="preserve">[NEW (Proposed)]</w:t>
      </w:r>
      <w:r>
        <w:t xml:space="preserve"> </w:t>
      </w:r>
      <w:r>
        <w:t xml:space="preserve">Adapter Doctrine, Cost Optimization, RMM Stage 3–5</w:t>
      </w:r>
    </w:p>
    <w:p>
      <w:pPr>
        <w:pStyle w:val="Compact"/>
        <w:numPr>
          <w:ilvl w:val="1"/>
          <w:numId w:val="1006"/>
        </w:numPr>
      </w:pPr>
      <w:r>
        <w:rPr>
          <w:rStyle w:val="VerbatimChar"/>
        </w:rPr>
        <w:t xml:space="preserve">[MISSING — drift threshold]</w:t>
      </w:r>
      <w:r>
        <w:t xml:space="preserve"> </w:t>
      </w:r>
      <w:r>
        <w:t xml:space="preserve">cells in P3-R-001 .. P3-R-008</w:t>
      </w:r>
    </w:p>
    <w:p>
      <w:pPr>
        <w:pStyle w:val="Compact"/>
        <w:numPr>
          <w:ilvl w:val="1"/>
          <w:numId w:val="1006"/>
        </w:numPr>
      </w:pPr>
      <w:r>
        <w:rPr>
          <w:rStyle w:val="VerbatimChar"/>
        </w:rPr>
        <w:t xml:space="preserve">[MISSING — SLA threshold]</w:t>
      </w:r>
      <w:r>
        <w:t xml:space="preserve"> </w:t>
      </w:r>
      <w:r>
        <w:t xml:space="preserve">cells in P3-R-005</w:t>
      </w:r>
    </w:p>
    <w:bookmarkEnd w:id="14"/>
    <w:bookmarkStart w:id="15" w:name="Xccf8f9b6f575609a3e11d8bedef10f9c922d16e"/>
    <w:p>
      <w:pPr>
        <w:pStyle w:val="Heading3"/>
      </w:pPr>
      <w:r>
        <w:t xml:space="preserve">Phase 4 — Cooperative Multi-Agent Governance (UIAO_024)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37 gap markers</w:t>
      </w:r>
      <w:r>
        <w:t xml:space="preserve">, predominantly</w:t>
      </w:r>
      <w:r>
        <w:t xml:space="preserve"> </w:t>
      </w:r>
      <w:r>
        <w:rPr>
          <w:rStyle w:val="VerbatimChar"/>
        </w:rPr>
        <w:t xml:space="preserve">[NEW (Proposed)]</w:t>
      </w:r>
      <w:r>
        <w:t xml:space="preserve"> </w:t>
      </w:r>
      <w:r>
        <w:t xml:space="preserve">for the</w:t>
      </w:r>
      <w:r>
        <w:t xml:space="preserve"> </w:t>
      </w:r>
      <w:r>
        <w:t xml:space="preserve">multi-agent topology that does not yet have a canonical</w:t>
      </w:r>
      <w:r>
        <w:t xml:space="preserve"> </w:t>
      </w:r>
      <w:r>
        <w:t xml:space="preserve">implementation. Specific items:</w:t>
      </w:r>
    </w:p>
    <w:p>
      <w:pPr>
        <w:pStyle w:val="Compact"/>
        <w:numPr>
          <w:ilvl w:val="1"/>
          <w:numId w:val="1008"/>
        </w:numPr>
      </w:pPr>
      <w:r>
        <w:t xml:space="preserve">Agent-to-agent message bus protocol (proposed, not specified)</w:t>
      </w:r>
    </w:p>
    <w:p>
      <w:pPr>
        <w:pStyle w:val="Compact"/>
        <w:numPr>
          <w:ilvl w:val="1"/>
          <w:numId w:val="1008"/>
        </w:numPr>
      </w:pPr>
      <w:r>
        <w:t xml:space="preserve">Drift-intelligence aggregator data model (proposed)</w:t>
      </w:r>
    </w:p>
    <w:p>
      <w:pPr>
        <w:pStyle w:val="Compact"/>
        <w:numPr>
          <w:ilvl w:val="1"/>
          <w:numId w:val="1008"/>
        </w:numPr>
      </w:pPr>
      <w:r>
        <w:t xml:space="preserve">Multi-agent SLA hand-off contracts (proposed)</w:t>
      </w:r>
    </w:p>
    <w:p>
      <w:pPr>
        <w:pStyle w:val="Compact"/>
        <w:numPr>
          <w:ilvl w:val="1"/>
          <w:numId w:val="1008"/>
        </w:numPr>
      </w:pPr>
      <w:r>
        <w:t xml:space="preserve">Conflict-resolution arbitration logic (proposed)</w:t>
      </w:r>
    </w:p>
    <w:bookmarkEnd w:id="15"/>
    <w:bookmarkStart w:id="16" w:name="phase-5-canon-integration-uiao_025"/>
    <w:p>
      <w:pPr>
        <w:pStyle w:val="Heading3"/>
      </w:pPr>
      <w:r>
        <w:t xml:space="preserve">Phase 5 — Canon Integration (UIAO_025)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62 gap markers</w:t>
      </w:r>
      <w:r>
        <w:t xml:space="preserve"> </w:t>
      </w:r>
      <w:r>
        <w:t xml:space="preserve">— the highest in the corpus. Phase 5 is structurally</w:t>
      </w:r>
      <w:r>
        <w:t xml:space="preserve"> </w:t>
      </w:r>
      <w:r>
        <w:t xml:space="preserve">forward-looking and most of its concepts are flagged</w:t>
      </w:r>
      <w:r>
        <w:t xml:space="preserve"> </w:t>
      </w:r>
      <w:r>
        <w:rPr>
          <w:rStyle w:val="VerbatimChar"/>
        </w:rPr>
        <w:t xml:space="preserve">[NEW (Proposed)]</w:t>
      </w:r>
      <w:r>
        <w:t xml:space="preserve">:</w:t>
      </w:r>
    </w:p>
    <w:p>
      <w:pPr>
        <w:pStyle w:val="Compact"/>
        <w:numPr>
          <w:ilvl w:val="1"/>
          <w:numId w:val="1010"/>
        </w:numPr>
      </w:pPr>
      <w:r>
        <w:t xml:space="preserve">Canon Integration Index (CII) manifest format</w:t>
      </w:r>
    </w:p>
    <w:p>
      <w:pPr>
        <w:pStyle w:val="Compact"/>
        <w:numPr>
          <w:ilvl w:val="1"/>
          <w:numId w:val="1010"/>
        </w:numPr>
      </w:pPr>
      <w:r>
        <w:t xml:space="preserve">DRAFT / ACTIVE / DEPRECATED / ARCHIVED lifecycle state machine</w:t>
      </w:r>
    </w:p>
    <w:p>
      <w:pPr>
        <w:pStyle w:val="Compact"/>
        <w:numPr>
          <w:ilvl w:val="1"/>
          <w:numId w:val="1010"/>
        </w:numPr>
      </w:pPr>
      <w:r>
        <w:t xml:space="preserve">Baseline branching model with governance-merge workflow</w:t>
      </w:r>
    </w:p>
    <w:p>
      <w:pPr>
        <w:pStyle w:val="Compact"/>
        <w:numPr>
          <w:ilvl w:val="1"/>
          <w:numId w:val="1010"/>
        </w:numPr>
      </w:pPr>
      <w:r>
        <w:t xml:space="preserve">Hot / warm / cold archival storage tiers</w:t>
      </w:r>
    </w:p>
    <w:p>
      <w:pPr>
        <w:pStyle w:val="Compact"/>
        <w:numPr>
          <w:ilvl w:val="1"/>
          <w:numId w:val="1010"/>
        </w:numPr>
      </w:pPr>
      <w:r>
        <w:t xml:space="preserve">Baseline compatibility matrix</w:t>
      </w:r>
    </w:p>
    <w:p>
      <w:pPr>
        <w:pStyle w:val="Compact"/>
        <w:numPr>
          <w:ilvl w:val="1"/>
          <w:numId w:val="1010"/>
        </w:numPr>
      </w:pPr>
      <w:r>
        <w:rPr>
          <w:rStyle w:val="VerbatimChar"/>
        </w:rPr>
        <w:t xml:space="preserve">P5_TBL_001 — Artifact Consolidation Status Matrix</w:t>
      </w:r>
      <w:r>
        <w:t xml:space="preserve"> </w:t>
      </w:r>
      <w:r>
        <w:t xml:space="preserve">(MISSING — needs canon/ scan)</w:t>
      </w:r>
    </w:p>
    <w:p>
      <w:pPr>
        <w:pStyle w:val="Compact"/>
        <w:numPr>
          <w:ilvl w:val="1"/>
          <w:numId w:val="1010"/>
        </w:numPr>
      </w:pPr>
      <w:r>
        <w:rPr>
          <w:rStyle w:val="VerbatimChar"/>
        </w:rPr>
        <w:t xml:space="preserve">P5_DIA_001..004</w:t>
      </w:r>
      <w:r>
        <w:t xml:space="preserve"> </w:t>
      </w:r>
      <w:r>
        <w:t xml:space="preserve">(4 diagrams placeholder)</w:t>
      </w:r>
    </w:p>
    <w:bookmarkEnd w:id="16"/>
    <w:bookmarkStart w:id="17" w:name="Xa29df6645bc9e1a177cd36f34736a9cd9e99d3a"/>
    <w:p>
      <w:pPr>
        <w:pStyle w:val="Heading3"/>
      </w:pPr>
      <w:r>
        <w:t xml:space="preserve">Client-Server to Hybrid-Cloud Reference (UIAO_030)</w:t>
      </w:r>
    </w:p>
    <w:p>
      <w:pPr>
        <w:pStyle w:val="Compact"/>
        <w:numPr>
          <w:ilvl w:val="0"/>
          <w:numId w:val="1011"/>
        </w:numPr>
      </w:pPr>
      <w:r>
        <w:t xml:space="preserve">No internal MISSING / PLACEHOLDER markers found. Document is reference</w:t>
      </w:r>
      <w:r>
        <w:t xml:space="preserve"> </w:t>
      </w:r>
      <w:r>
        <w:t xml:space="preserve">material; cross-reference verification recommended before release.</w:t>
      </w:r>
    </w:p>
    <w:bookmarkEnd w:id="17"/>
    <w:bookmarkEnd w:id="18"/>
    <w:bookmarkStart w:id="19" w:name="standing-feedback-items-status"/>
    <w:p>
      <w:pPr>
        <w:pStyle w:val="Heading2"/>
      </w:pPr>
      <w:r>
        <w:t xml:space="preserve">3. Standing-feedback items (status)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Feedback source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0 feedback.docx (target: Phase 1 Rev 0.x)</w:t>
            </w:r>
          </w:p>
        </w:tc>
        <w:tc>
          <w:tcPr/>
          <w:p>
            <w:pPr>
              <w:pStyle w:val="Compact"/>
            </w:pPr>
            <w:r>
              <w:t xml:space="preserve">Drop classification markings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Resolved</w:t>
            </w:r>
            <w:r>
              <w:t xml:space="preserve"> </w:t>
            </w:r>
            <w:r>
              <w:t xml:space="preserve">in this consolidation pass.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1 feedback.docx</w:t>
            </w:r>
          </w:p>
        </w:tc>
        <w:tc>
          <w:tcPr/>
          <w:p>
            <w:pPr>
              <w:pStyle w:val="Compact"/>
            </w:pPr>
            <w:r>
              <w:t xml:space="preserve">Sample vs. actual OrgTree framing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Applied</w:t>
            </w:r>
            <w:r>
              <w:t xml:space="preserve"> </w:t>
            </w:r>
            <w:r>
              <w:t xml:space="preserve">in merged Phase 1 (UIAO_021); Phase 0 inherits via shared OrgTree references.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1 Rev 0x feedback</w:t>
            </w:r>
          </w:p>
        </w:tc>
        <w:tc>
          <w:tcPr/>
          <w:p>
            <w:pPr>
              <w:pStyle w:val="Compact"/>
            </w:pPr>
            <w:r>
              <w:t xml:space="preserve">Drop classification markings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Resolved.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1 Rev 0x feedback</w:t>
            </w:r>
          </w:p>
        </w:tc>
        <w:tc>
          <w:tcPr/>
          <w:p>
            <w:pPr>
              <w:pStyle w:val="Compact"/>
            </w:pPr>
            <w:r>
              <w:t xml:space="preserve">Acknowledge AD→Entra sync as already-required baseline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Applied</w:t>
            </w:r>
            <w:r>
              <w:t xml:space="preserve"> </w:t>
            </w:r>
            <w:r>
              <w:t xml:space="preserve">in merged Phase 1 Editorial Note</w:t>
            </w:r>
            <w:r>
              <w:t xml:space="preserve"> </w:t>
            </w:r>
            <w:r>
              <w:rPr>
                <w:b/>
                <w:bCs/>
              </w:rPr>
              <w:t xml:space="preserve">and</w:t>
            </w:r>
            <w:r>
              <w:t xml:space="preserve"> </w:t>
            </w:r>
            <w:r>
              <w:t xml:space="preserve">Phase 0 §2.1 (</w:t>
            </w:r>
            <w:r>
              <w:t xml:space="preserve">“Baseline assumption”</w:t>
            </w:r>
            <w:r>
              <w:t xml:space="preserve"> </w:t>
            </w:r>
            <w:r>
              <w:t xml:space="preserve">callout).</w:t>
            </w:r>
          </w:p>
        </w:tc>
      </w:tr>
    </w:tbl>
    <w:bookmarkEnd w:id="19"/>
    <w:bookmarkStart w:id="22" w:name="recommended-next-actions"/>
    <w:p>
      <w:pPr>
        <w:pStyle w:val="Heading2"/>
      </w:pPr>
      <w:r>
        <w:t xml:space="preserve">4. Recommended next actions</w:t>
      </w:r>
    </w:p>
    <w:p>
      <w:pPr>
        <w:pStyle w:val="Compact"/>
        <w:numPr>
          <w:ilvl w:val="0"/>
          <w:numId w:val="1012"/>
        </w:numPr>
      </w:pPr>
      <w:r>
        <w:rPr>
          <w:b/>
          <w:bCs/>
          <w:strike/>
        </w:rPr>
        <w:t xml:space="preserve">Allocate document IDs.</w:t>
      </w:r>
      <w:r>
        <w:t xml:space="preserve"> </w:t>
      </w:r>
      <w:r>
        <w:t xml:space="preserve">✓</w:t>
      </w:r>
      <w:r>
        <w:t xml:space="preserve"> </w:t>
      </w:r>
      <w:r>
        <w:rPr>
          <w:b/>
          <w:bCs/>
        </w:rPr>
        <w:t xml:space="preserve">Resolved by design</w:t>
      </w:r>
      <w:r>
        <w:t xml:space="preserve"> </w:t>
      </w:r>
      <w:r>
        <w:t xml:space="preserve">(see X-04 above).</w:t>
      </w:r>
      <w:r>
        <w:t xml:space="preserve"> </w:t>
      </w:r>
      <w:r>
        <w:t xml:space="preserve">The customer-doc series at</w:t>
      </w:r>
      <w:r>
        <w:t xml:space="preserve"> </w:t>
      </w:r>
      <w:r>
        <w:rPr>
          <w:rStyle w:val="VerbatimChar"/>
        </w:rPr>
        <w:t xml:space="preserve">docs/customer-documents/modernization/uiao-modernization-program/</w:t>
      </w:r>
      <w:r>
        <w:t xml:space="preserve"> </w:t>
      </w:r>
      <w:r>
        <w:t xml:space="preserve">is the</w:t>
      </w:r>
      <w:r>
        <w:t xml:space="preserve"> </w:t>
      </w:r>
      <w:r>
        <w:rPr>
          <w:b/>
          <w:bCs/>
        </w:rPr>
        <w:t xml:space="preserve">DERIVED</w:t>
      </w:r>
      <w:r>
        <w:t xml:space="preserve"> </w:t>
      </w:r>
      <w:r>
        <w:t xml:space="preserve">authority tier per the metadata schema, not CANONICAL,</w:t>
      </w:r>
      <w:r>
        <w:t xml:space="preserve"> </w:t>
      </w:r>
      <w:r>
        <w:t xml:space="preserve">so registry allocation is not required. Chapters reference their canon</w:t>
      </w:r>
      <w:r>
        <w:t xml:space="preserve"> </w:t>
      </w:r>
      <w:r>
        <w:t xml:space="preserve">sources via the</w:t>
      </w:r>
      <w:r>
        <w:t xml:space="preserve"> </w:t>
      </w:r>
      <w:r>
        <w:rPr>
          <w:rStyle w:val="VerbatimChar"/>
        </w:rPr>
        <w:t xml:space="preserve">canon-source</w:t>
      </w:r>
      <w:r>
        <w:t xml:space="preserve"> </w:t>
      </w:r>
      <w:r>
        <w:t xml:space="preserve">frontmatter field. If governance later</w:t>
      </w:r>
      <w:r>
        <w:t xml:space="preserve"> </w:t>
      </w:r>
      <w:r>
        <w:t xml:space="preserve">elevates any chapter to canon, allocate UIAO_NNN at that time and move</w:t>
      </w:r>
      <w:r>
        <w:t xml:space="preserve"> </w:t>
      </w:r>
      <w:r>
        <w:t xml:space="preserve">the source to</w:t>
      </w:r>
      <w:r>
        <w:t xml:space="preserve"> </w:t>
      </w:r>
      <w:r>
        <w:rPr>
          <w:rStyle w:val="VerbatimChar"/>
        </w:rPr>
        <w:t xml:space="preserve">src/uiao/canon/</w:t>
      </w:r>
      <w:r>
        <w:t xml:space="preserve"> </w:t>
      </w:r>
      <w:r>
        <w:t xml:space="preserve">per ADR process.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Schema decision for Phase 5.</w:t>
      </w:r>
      <w:r>
        <w:t xml:space="preserve"> </w:t>
      </w:r>
      <w:r>
        <w:t xml:space="preserve">Decide whether the Canon Integration</w:t>
      </w:r>
      <w:r>
        <w:t xml:space="preserve"> </w:t>
      </w:r>
      <w:r>
        <w:t xml:space="preserve">Index is a</w:t>
      </w:r>
      <w:r>
        <w:t xml:space="preserve"> </w:t>
      </w:r>
      <w:r>
        <w:rPr>
          <w:i/>
          <w:iCs/>
        </w:rPr>
        <w:t xml:space="preserve">new</w:t>
      </w:r>
      <w:r>
        <w:t xml:space="preserve"> </w:t>
      </w:r>
      <w:r>
        <w:t xml:space="preserve">artifact or an</w:t>
      </w:r>
      <w:r>
        <w:t xml:space="preserve"> </w:t>
      </w:r>
      <w:r>
        <w:rPr>
          <w:i/>
          <w:iCs/>
        </w:rPr>
        <w:t xml:space="preserve">extension of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document-registry.yaml</w:t>
      </w:r>
      <w:r>
        <w:t xml:space="preserve"> </w:t>
      </w:r>
      <w:r>
        <w:t xml:space="preserve">with added fields (</w:t>
      </w:r>
      <w:r>
        <w:rPr>
          <w:rStyle w:val="VerbatimChar"/>
        </w:rPr>
        <w:t xml:space="preserve">superseded_by</w:t>
      </w:r>
      <w:r>
        <w:t xml:space="preserve">,</w:t>
      </w:r>
      <w:r>
        <w:t xml:space="preserve"> </w:t>
      </w:r>
      <w:r>
        <w:rPr>
          <w:rStyle w:val="VerbatimChar"/>
        </w:rPr>
        <w:t xml:space="preserve">lifecycle_state</w:t>
      </w:r>
      <w:r>
        <w:t xml:space="preserve">,</w:t>
      </w:r>
      <w:r>
        <w:t xml:space="preserve"> </w:t>
      </w:r>
      <w:r>
        <w:rPr>
          <w:rStyle w:val="VerbatimChar"/>
        </w:rPr>
        <w:t xml:space="preserve">retention_tier</w:t>
      </w:r>
      <w:r>
        <w:t xml:space="preserve">). Path forward depends on this decision.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Diagram authoring sprint.</w:t>
      </w:r>
      <w:r>
        <w:t xml:space="preserve"> </w:t>
      </w:r>
      <w:r>
        <w:t xml:space="preserve">✓</w:t>
      </w:r>
      <w:r>
        <w:t xml:space="preserve"> </w:t>
      </w:r>
      <w:r>
        <w:rPr>
          <w:b/>
          <w:bCs/>
        </w:rPr>
        <w:t xml:space="preserve">Resolved.</w:t>
      </w:r>
      <w:r>
        <w:t xml:space="preserve"> </w:t>
      </w:r>
      <w:r>
        <w:t xml:space="preserve">All 48 figures across the</w:t>
      </w:r>
      <w:r>
        <w:t xml:space="preserve"> </w:t>
      </w:r>
      <w:r>
        <w:t xml:space="preserve">eight chapters were generated via Google Gemini Nano Banana through the</w:t>
      </w:r>
      <w:r>
        <w:t xml:space="preserve"> </w:t>
      </w:r>
      <w:r>
        <w:t xml:space="preserve">sibling</w:t>
      </w:r>
      <w:r>
        <w:t xml:space="preserve"> </w:t>
      </w:r>
      <w:r>
        <w:rPr>
          <w:rStyle w:val="VerbatimChar"/>
        </w:rPr>
        <w:t xml:space="preserve">generate-series-images.py</w:t>
      </w:r>
      <w:r>
        <w:t xml:space="preserve"> </w:t>
      </w:r>
      <w:r>
        <w:t xml:space="preserve">and committed under</w:t>
      </w:r>
      <w:r>
        <w:t xml:space="preserve"> </w:t>
      </w:r>
      <w:r>
        <w:rPr>
          <w:rStyle w:val="VerbatimChar"/>
        </w:rPr>
        <w:t xml:space="preserve">images/</w:t>
      </w:r>
      <w:r>
        <w:t xml:space="preserve">.</w:t>
      </w:r>
      <w:r>
        <w:t xml:space="preserve"> </w:t>
      </w:r>
      <w:r>
        <w:t xml:space="preserve">See</w:t>
      </w:r>
      <w:r>
        <w:t xml:space="preserve"> </w:t>
      </w:r>
      <w:hyperlink r:id="rId20">
        <w:r>
          <w:rPr>
            <w:rStyle w:val="VerbatimChar"/>
          </w:rPr>
          <w:t xml:space="preserve">98-diagram-generation-manifest.qmd</w:t>
        </w:r>
      </w:hyperlink>
      <w:r>
        <w:t xml:space="preserve"> </w:t>
      </w:r>
      <w:r>
        <w:t xml:space="preserve">for the full register.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Phase 3 / Phase 4 / Phase 5 SME review.</w:t>
      </w:r>
      <w:r>
        <w:t xml:space="preserve"> </w:t>
      </w:r>
      <w:r>
        <w:t xml:space="preserve">All three documents</w:t>
      </w:r>
      <w:r>
        <w:t xml:space="preserve"> </w:t>
      </w:r>
      <w:r>
        <w:t xml:space="preserve">carry substantial</w:t>
      </w:r>
      <w:r>
        <w:t xml:space="preserve"> </w:t>
      </w:r>
      <w:r>
        <w:rPr>
          <w:rStyle w:val="VerbatimChar"/>
        </w:rPr>
        <w:t xml:space="preserve">[NEW (Proposed)]</w:t>
      </w:r>
      <w:r>
        <w:t xml:space="preserve"> </w:t>
      </w:r>
      <w:r>
        <w:t xml:space="preserve">content that needs a governance</w:t>
      </w:r>
      <w:r>
        <w:t xml:space="preserve"> </w:t>
      </w:r>
      <w:r>
        <w:t xml:space="preserve">review pass before promotion to canon. Phase 5 in particular flags</w:t>
      </w:r>
      <w:r>
        <w:t xml:space="preserve"> </w:t>
      </w:r>
      <w:r>
        <w:t xml:space="preserve">itself as consolidation-only (</w:t>
      </w:r>
      <w:r>
        <w:t xml:space="preserve">“mandate is consolidation, not</w:t>
      </w:r>
      <w:r>
        <w:t xml:space="preserve"> </w:t>
      </w:r>
      <w:r>
        <w:t xml:space="preserve">invention”</w:t>
      </w:r>
      <w:r>
        <w:t xml:space="preserve">) but introduces several new constructs.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  <w:strike/>
        </w:rPr>
        <w:t xml:space="preserve">Phase 0 §2.1 update.</w:t>
      </w:r>
      <w:r>
        <w:t xml:space="preserve"> </w:t>
      </w:r>
      <w:r>
        <w:t xml:space="preserve">✓</w:t>
      </w:r>
      <w:r>
        <w:t xml:space="preserve"> </w:t>
      </w:r>
      <w:r>
        <w:rPr>
          <w:b/>
          <w:bCs/>
        </w:rPr>
        <w:t xml:space="preserve">Resolved.</w:t>
      </w:r>
      <w:r>
        <w:t xml:space="preserve"> </w:t>
      </w:r>
      <w:r>
        <w:t xml:space="preserve">Phase 0 §2.1 now carries</w:t>
      </w:r>
      <w:r>
        <w:t xml:space="preserve"> </w:t>
      </w:r>
      <w:r>
        <w:t xml:space="preserve">an explicit</w:t>
      </w:r>
      <w:r>
        <w:t xml:space="preserve"> </w:t>
      </w:r>
      <w:r>
        <w:t xml:space="preserve">“Baseline assumption — AD→Entra ID synchronization is</w:t>
      </w:r>
      <w:r>
        <w:t xml:space="preserve"> </w:t>
      </w:r>
      <w:r>
        <w:t xml:space="preserve">already operational”</w:t>
      </w:r>
      <w:r>
        <w:t xml:space="preserve"> </w:t>
      </w:r>
      <w:r>
        <w:t xml:space="preserve">callout. The fragmentation Phase 0 addresses is</w:t>
      </w:r>
      <w:r>
        <w:t xml:space="preserve"> </w:t>
      </w:r>
      <w:r>
        <w:rPr>
          <w:b/>
          <w:bCs/>
        </w:rPr>
        <w:t xml:space="preserve">governance fragmentation</w:t>
      </w:r>
      <w:r>
        <w:t xml:space="preserve">, not the absence of synchronization.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Cross-reference fixes in Chapter 07.</w:t>
      </w:r>
      <w:r>
        <w:t xml:space="preserve"> </w:t>
      </w:r>
      <w:r>
        <w:t xml:space="preserve">✓</w:t>
      </w:r>
      <w:r>
        <w:t xml:space="preserve"> </w:t>
      </w:r>
      <w:r>
        <w:rPr>
          <w:b/>
          <w:bCs/>
        </w:rPr>
        <w:t xml:space="preserve">Resolved.</w:t>
      </w:r>
      <w:r>
        <w:t xml:space="preserve"> </w:t>
      </w:r>
      <w:r>
        <w:t xml:space="preserve">The 14</w:t>
      </w:r>
      <w:r>
        <w:t xml:space="preserve"> </w:t>
      </w:r>
      <w:r>
        <w:t xml:space="preserve">broken cross-references inherited from the original Client-Server</w:t>
      </w:r>
      <w:r>
        <w:t xml:space="preserve"> </w:t>
      </w:r>
      <w:r>
        <w:t xml:space="preserve">source doc were rewritten to point to the existing</w:t>
      </w:r>
      <w:r>
        <w:t xml:space="preserve"> </w:t>
      </w:r>
      <w:hyperlink r:id="rId21">
        <w:r>
          <w:rPr>
            <w:rStyle w:val="VerbatimChar"/>
          </w:rPr>
          <w:t xml:space="preserve">client-server-to-hybrid-cloud/</w:t>
        </w:r>
      </w:hyperlink>
      <w:r>
        <w:t xml:space="preserve"> </w:t>
      </w:r>
      <w:r>
        <w:t xml:space="preserve">series chapters, and the</w:t>
      </w:r>
      <w:r>
        <w:t xml:space="preserve"> </w:t>
      </w:r>
      <w:r>
        <w:rPr>
          <w:rStyle w:val="VerbatimChar"/>
        </w:rPr>
        <w:t xml:space="preserve">zero-trust.qmd</w:t>
      </w:r>
      <w:r>
        <w:t xml:space="preserve"> </w:t>
      </w:r>
      <w:r>
        <w:t xml:space="preserve">link was corrected to</w:t>
      </w:r>
      <w:r>
        <w:t xml:space="preserve"> </w:t>
      </w:r>
      <w:r>
        <w:rPr>
          <w:rStyle w:val="VerbatimChar"/>
        </w:rPr>
        <w:t xml:space="preserve">zero-trust.md</w:t>
      </w:r>
      <w:r>
        <w:t xml:space="preserve"> </w:t>
      </w:r>
      <w:r>
        <w:t xml:space="preserve">(the actual file extension).</w: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1" Target="../client-server-to-hybrid-cloud/index.html" TargetMode="External" /><Relationship Type="http://schemas.openxmlformats.org/officeDocument/2006/relationships/hyperlink" Id="rId20" Target="./98-diagram-generation-manifest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client-server-to-hybrid-cloud/index.html" TargetMode="External" /><Relationship Type="http://schemas.openxmlformats.org/officeDocument/2006/relationships/hyperlink" Id="rId20" Target="./98-diagram-generation-manifest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Needs-Input Register</dc:title>
  <dc:creator/>
  <cp:keywords/>
  <dcterms:created xsi:type="dcterms:W3CDTF">2026-05-06T23:14:52Z</dcterms:created>
  <dcterms:modified xsi:type="dcterms:W3CDTF">2026-05-06T23:14:52Z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2026-04-25</vt:lpwstr>
  </property>
  <property fmtid="{D5CDD505-2E9C-101B-9397-08002B2CF9AE}" pid="5" name="doc-type">
    <vt:lpwstr>series-appendix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eries-id">
    <vt:lpwstr>uiao-modernization-program</vt:lpwstr>
  </property>
  <property fmtid="{D5CDD505-2E9C-101B-9397-08002B2CF9AE}" pid="12" name="subtitle">
    <vt:lpwstr>Cross-document backlog of gaps, MISSING items, and standing-feedback status</vt:lpwstr>
  </property>
  <property fmtid="{D5CDD505-2E9C-101B-9397-08002B2CF9AE}" pid="13" name="toc-title">
    <vt:lpwstr>Table of contents</vt:lpwstr>
  </property>
</Properties>
</file>