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Platform Server Build Guide — Windows Server 2025 with Gitea, IIS, Intune, Azure Arc, and OrgTree</w:t>
      </w:r>
    </w:p>
    <w:p>
      <w:pPr>
        <w:pStyle w:val="Subtitle"/>
      </w:pPr>
      <w:r>
        <w:t xml:space="preserve">Canonical 14-phase runbook for the UIAO on-premises governance substrate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platform-server-build-guide"/>
    <w:p>
      <w:pPr>
        <w:pStyle w:val="Heading1"/>
      </w:pPr>
      <w:r>
        <w:t xml:space="preserve">Platform Server Build Guide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 derivation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This page consolidates two canonical sources: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UIAO Platform Server Build Guide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UIAO_SBG_001 v1.0</w:t>
            </w:r>
            <w:r>
              <w:t xml:space="preserve">) — the 13-phase</w:t>
            </w:r>
            <w:r>
              <w:t xml:space="preserve"> </w:t>
            </w:r>
            <w:r>
              <w:t xml:space="preserve">PowerShell-first runbook for Windows Server 2025, IIS, Gitea, Intune, and</w:t>
            </w:r>
            <w:r>
              <w:t xml:space="preserve"> </w:t>
            </w:r>
            <w:r>
              <w:t xml:space="preserve">Azure Arc. Operational PowerShell procedures are authoritative there; this</w:t>
            </w:r>
            <w:r>
              <w:t xml:space="preserve"> </w:t>
            </w:r>
            <w:r>
              <w:t xml:space="preserve">page summarizes and cites them.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OrgTree Modernization Canon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MOD_A..MOD_Z</w:t>
            </w:r>
            <w:r>
              <w:t xml:space="preserve">) — the governance model</w:t>
            </w:r>
            <w:r>
              <w:t xml:space="preserve"> </w:t>
            </w:r>
            <w:r>
              <w:t xml:space="preserve">for OrgPath encoding, dynamic groups, Administrative Units, and drift</w:t>
            </w:r>
            <w:r>
              <w:t xml:space="preserve"> </w:t>
            </w:r>
            <w:r>
              <w:t xml:space="preserve">detection. Phase 14 below instantiates this canon for the platform server.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The Posted</w:t>
            </w:r>
            <w:r>
              <w:t xml:space="preserve"> </w:t>
            </w:r>
            <w:r>
              <w:rPr>
                <w:rStyle w:val="VerbatimChar"/>
              </w:rPr>
              <w:t xml:space="preserve">.docx</w:t>
            </w:r>
            <w:r>
              <w:t xml:space="preserve"> </w:t>
            </w:r>
            <w:r>
              <w:t xml:space="preserve">remains the operational source-of-truth for per-command</w:t>
            </w:r>
            <w:r>
              <w:t xml:space="preserve"> </w:t>
            </w:r>
            <w:r>
              <w:t xml:space="preserve">detail. This page adds</w:t>
            </w:r>
            <w:r>
              <w:t xml:space="preserve"> </w:t>
            </w:r>
            <w:r>
              <w:rPr>
                <w:b/>
                <w:bCs/>
              </w:rPr>
              <w:t xml:space="preserve">Phase 14 — OrgTree Integration</w:t>
            </w:r>
            <w:r>
              <w:t xml:space="preserve"> </w:t>
            </w:r>
            <w:r>
              <w:t xml:space="preserve">and provides the</w:t>
            </w:r>
            <w:r>
              <w:t xml:space="preserve"> </w:t>
            </w:r>
            <w:r>
              <w:t xml:space="preserve">navigational/canonical home inside the customer-documents portal.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Aspirational — canonically declared, partially adopted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Phases 1–13 are field-tested (Posted v1.0). Phase 14 OrgTree Integration is</w:t>
            </w:r>
            <w:r>
              <w:t xml:space="preserve"> </w:t>
            </w:r>
            <w:r>
              <w:t xml:space="preserve">canonically declared but operationally new; MOD_M drift detection hooks and</w:t>
            </w:r>
            <w:r>
              <w:t xml:space="preserve"> </w:t>
            </w:r>
            <w:r>
              <w:t xml:space="preserve">AU-scoped Gitea authorization are under development.</w:t>
            </w:r>
          </w:p>
          <w:p/>
        </w:tc>
      </w:tr>
    </w:tbl>
    <w:bookmarkStart w:id="15" w:name="architecture-in-one-page"/>
    <w:p>
      <w:pPr>
        <w:pStyle w:val="Heading2"/>
      </w:pPr>
      <w:r>
        <w:t xml:space="preserve">Architecture in one page</w:t>
      </w:r>
    </w:p>
    <w:p>
      <w:pPr>
        <w:pStyle w:val="FirstParagraph"/>
      </w:pPr>
      <w:r>
        <w:t xml:space="preserve">A single Windows Server 2025 host runs Gitea on port 3000, fronted by IIS as</w:t>
      </w:r>
      <w:r>
        <w:t xml:space="preserve"> </w:t>
      </w:r>
      <w:r>
        <w:t xml:space="preserve">an HTTPS reverse proxy on 443. Authentication chains AD DS (LDAPS) for local</w:t>
      </w:r>
      <w:r>
        <w:t xml:space="preserve"> </w:t>
      </w:r>
      <w:r>
        <w:t xml:space="preserve">accounts and Entra ID (OAuth2/OIDC) for federated users. The host enrolls in</w:t>
      </w:r>
      <w:r>
        <w:t xml:space="preserve"> </w:t>
      </w:r>
      <w:r>
        <w:t xml:space="preserve">Intune for compliance telemetry and Azure Arc for hybrid management. As of</w:t>
      </w:r>
      <w:r>
        <w:t xml:space="preserve"> </w:t>
      </w:r>
      <w:r>
        <w:t xml:space="preserve">this revision, the host is also a first-class OrgTree object: it carries an</w:t>
      </w:r>
      <w:r>
        <w:t xml:space="preserve"> </w:t>
      </w:r>
      <w:r>
        <w:t xml:space="preserve">OrgPath, lives inside an Administrative Unit, and emits drift state to the</w:t>
      </w:r>
      <w:r>
        <w:t xml:space="preserve"> </w:t>
      </w:r>
      <w:r>
        <w:t xml:space="preserve">MOD_M engine.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Windows Server 2025 (UIAO-GIT01)                                 │</w:t>
      </w:r>
      <w:r>
        <w:br/>
      </w:r>
      <w:r>
        <w:rPr>
          <w:rStyle w:val="VerbatimChar"/>
        </w:rPr>
        <w:t xml:space="preserve">│   OrgPath: ORG-IT-INF-PLATFORM  (extensionAttribute1)            │</w:t>
      </w:r>
      <w:r>
        <w:br/>
      </w:r>
      <w:r>
        <w:rPr>
          <w:rStyle w:val="VerbatimChar"/>
        </w:rPr>
        <w:t xml:space="preserve">│   AU:      AU-ORG-IT-INF-PLATFORM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    │</w:t>
      </w:r>
      <w:r>
        <w:br/>
      </w:r>
      <w:r>
        <w:rPr>
          <w:rStyle w:val="VerbatimChar"/>
        </w:rPr>
        <w:t xml:space="preserve">│   IIS :443 (HTTPS) ──reverse proxy──▶ Gitea :3000               │</w:t>
      </w:r>
      <w:r>
        <w:br/>
      </w:r>
      <w:r>
        <w:rPr>
          <w:rStyle w:val="VerbatimChar"/>
        </w:rPr>
        <w:t xml:space="preserve">│     │                                   │                        │</w:t>
      </w:r>
      <w:r>
        <w:br/>
      </w:r>
      <w:r>
        <w:rPr>
          <w:rStyle w:val="VerbatimChar"/>
        </w:rPr>
        <w:t xml:space="preserve">│     ├─ AD DS LDAPS (primary auth)       ├─ Repos on D:\GitRepos  │</w:t>
      </w:r>
      <w:r>
        <w:br/>
      </w:r>
      <w:r>
        <w:rPr>
          <w:rStyle w:val="VerbatimChar"/>
        </w:rPr>
        <w:t xml:space="preserve">│     ├─ Entra OIDC (federated SSO)       ├─ Hooks (governance)    │</w:t>
      </w:r>
      <w:r>
        <w:br/>
      </w:r>
      <w:r>
        <w:rPr>
          <w:rStyle w:val="VerbatimChar"/>
        </w:rPr>
        <w:t xml:space="preserve">│     └─ Client cert (mTLS optional)      └─ Intune compliance tag │</w:t>
      </w:r>
      <w:r>
        <w:br/>
      </w:r>
      <w:r>
        <w:rPr>
          <w:rStyle w:val="VerbatimChar"/>
        </w:rPr>
        <w:t xml:space="preserve">│                                                                  │</w:t>
      </w:r>
      <w:r>
        <w:br/>
      </w:r>
      <w:r>
        <w:rPr>
          <w:rStyle w:val="VerbatimChar"/>
        </w:rPr>
        <w:t xml:space="preserve">│   Azure Arc agent → drift reporting → MOD_M engine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└──────────────────────────────────────────────────────────────────┘</w:t>
      </w:r>
    </w:p>
    <w:bookmarkEnd w:id="15"/>
    <w:bookmarkStart w:id="16" w:name="phase-summaries"/>
    <w:p>
      <w:pPr>
        <w:pStyle w:val="Heading2"/>
      </w:pPr>
      <w:r>
        <w:t xml:space="preserve">Phase summaries</w:t>
      </w:r>
    </w:p>
    <w:p>
      <w:pPr>
        <w:pStyle w:val="FirstParagraph"/>
      </w:pPr>
      <w:r>
        <w:t xml:space="preserve">Detailed PowerShell and configuration content for each phase lives in the</w:t>
      </w:r>
      <w:r>
        <w:t xml:space="preserve"> </w:t>
      </w:r>
      <w:r>
        <w:t xml:space="preserve">Posted guide. Summary + cross-reference: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  <w:tc>
          <w:tcPr/>
          <w:p>
            <w:pPr>
              <w:pStyle w:val="Compact"/>
            </w:pPr>
            <w:r>
              <w:t xml:space="preserve">Posted 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Windows Server 2025 base</w:t>
            </w:r>
          </w:p>
        </w:tc>
        <w:tc>
          <w:tcPr/>
          <w:p>
            <w:pPr>
              <w:pStyle w:val="Compact"/>
            </w:pPr>
            <w:r>
              <w:t xml:space="preserve">Core role install, patch baseline, firewall profile, WinRM lockdown</w:t>
            </w:r>
          </w:p>
        </w:tc>
        <w:tc>
          <w:tcPr/>
          <w:p>
            <w:pPr>
              <w:pStyle w:val="Compact"/>
            </w:pPr>
            <w:r>
              <w:t xml:space="preserve">§4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IIS install + configuration</w:t>
            </w:r>
          </w:p>
        </w:tc>
        <w:tc>
          <w:tcPr/>
          <w:p>
            <w:pPr>
              <w:pStyle w:val="Compact"/>
            </w:pPr>
            <w:r>
              <w:t xml:space="preserve">URL Rewrite, Application Request Routing, health probes, logging targets</w:t>
            </w:r>
          </w:p>
        </w:tc>
        <w:tc>
          <w:tcPr/>
          <w:p>
            <w:pPr>
              <w:pStyle w:val="Compact"/>
            </w:pPr>
            <w:r>
              <w:t xml:space="preserve">§5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TLS certificates</w:t>
            </w:r>
          </w:p>
        </w:tc>
        <w:tc>
          <w:tcPr/>
          <w:p>
            <w:pPr>
              <w:pStyle w:val="Compact"/>
            </w:pPr>
            <w:r>
              <w:t xml:space="preserve">ACME or enterprise CA issuance, private key ACL, binding to IIS site</w:t>
            </w:r>
          </w:p>
        </w:tc>
        <w:tc>
          <w:tcPr/>
          <w:p>
            <w:pPr>
              <w:pStyle w:val="Compact"/>
            </w:pPr>
            <w:r>
              <w:t xml:space="preserve">§6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Gitea install</w:t>
            </w:r>
          </w:p>
        </w:tc>
        <w:tc>
          <w:tcPr/>
          <w:p>
            <w:pPr>
              <w:pStyle w:val="Compact"/>
            </w:pPr>
            <w:r>
              <w:t xml:space="preserve">Service account, D: data volume,</w:t>
            </w:r>
            <w:r>
              <w:t xml:space="preserve"> </w:t>
            </w:r>
            <w:r>
              <w:rPr>
                <w:rStyle w:val="VerbatimChar"/>
              </w:rPr>
              <w:t xml:space="preserve">app.ini</w:t>
            </w:r>
            <w:r>
              <w:t xml:space="preserve"> </w:t>
            </w:r>
            <w:r>
              <w:t xml:space="preserve">canonical values, service registration</w:t>
            </w:r>
          </w:p>
        </w:tc>
        <w:tc>
          <w:tcPr/>
          <w:p>
            <w:pPr>
              <w:pStyle w:val="Compact"/>
            </w:pPr>
            <w:r>
              <w:t xml:space="preserve">§7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IIS reverse proxy</w:t>
            </w:r>
          </w:p>
        </w:tc>
        <w:tc>
          <w:tcPr/>
          <w:p>
            <w:pPr>
              <w:pStyle w:val="Compact"/>
            </w:pPr>
            <w:r>
              <w:t xml:space="preserve">Rewrite rules for 443→3000, HSTS, request size limits, X-Forwarded-For hand-off</w:t>
            </w:r>
          </w:p>
        </w:tc>
        <w:tc>
          <w:tcPr/>
          <w:p>
            <w:pPr>
              <w:pStyle w:val="Compact"/>
            </w:pPr>
            <w:r>
              <w:t xml:space="preserve">§8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AD LDAPS authentication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source-config</w:t>
            </w:r>
            <w:r>
              <w:t xml:space="preserve"> </w:t>
            </w:r>
            <w:r>
              <w:t xml:space="preserve">in Gitea, LDAPS bind account, search base scoped to OrgPath-governed OUs</w:t>
            </w:r>
          </w:p>
        </w:tc>
        <w:tc>
          <w:tcPr/>
          <w:p>
            <w:pPr>
              <w:pStyle w:val="Compact"/>
            </w:pPr>
            <w:r>
              <w:t xml:space="preserve">§9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Entra OAuth2/OIDC</w:t>
            </w:r>
          </w:p>
        </w:tc>
        <w:tc>
          <w:tcPr/>
          <w:p>
            <w:pPr>
              <w:pStyle w:val="Compact"/>
            </w:pPr>
            <w:r>
              <w:t xml:space="preserve">App registration, redirect URIs, group claim configuration, auto-provisioning</w:t>
            </w:r>
          </w:p>
        </w:tc>
        <w:tc>
          <w:tcPr/>
          <w:p>
            <w:pPr>
              <w:pStyle w:val="Compact"/>
            </w:pPr>
            <w:r>
              <w:t xml:space="preserve">§10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Clone UIAO repo</w:t>
            </w:r>
          </w:p>
        </w:tc>
        <w:tc>
          <w:tcPr/>
          <w:p>
            <w:pPr>
              <w:pStyle w:val="Compact"/>
            </w:pPr>
            <w:r>
              <w:t xml:space="preserve">Initial</w:t>
            </w:r>
            <w:r>
              <w:t xml:space="preserve"> </w:t>
            </w:r>
            <w:r>
              <w:rPr>
                <w:rStyle w:val="VerbatimChar"/>
              </w:rPr>
              <w:t xml:space="preserve">git clone</w:t>
            </w:r>
            <w:r>
              <w:t xml:space="preserve"> </w:t>
            </w:r>
            <w:r>
              <w:t xml:space="preserve">from GitHub origin, Gitea mirror configuration, LFS enablement</w:t>
            </w:r>
          </w:p>
        </w:tc>
        <w:tc>
          <w:tcPr/>
          <w:p>
            <w:pPr>
              <w:pStyle w:val="Compact"/>
            </w:pPr>
            <w:r>
              <w:t xml:space="preserve">§11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Gitea governance hooks</w:t>
            </w:r>
          </w:p>
        </w:tc>
        <w:tc>
          <w:tcPr/>
          <w:p>
            <w:pPr>
              <w:pStyle w:val="Compact"/>
            </w:pPr>
            <w:r>
              <w:t xml:space="preserve">Pre-receive / post-receive hooks for canon validation, signed-commit enforcement, Quarto render triggers</w:t>
            </w:r>
          </w:p>
        </w:tc>
        <w:tc>
          <w:tcPr/>
          <w:p>
            <w:pPr>
              <w:pStyle w:val="Compact"/>
            </w:pPr>
            <w:r>
              <w:t xml:space="preserve">§12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Intune compliance</w:t>
            </w:r>
          </w:p>
        </w:tc>
        <w:tc>
          <w:tcPr/>
          <w:p>
            <w:pPr>
              <w:pStyle w:val="Compact"/>
            </w:pPr>
            <w:r>
              <w:t xml:space="preserve">Autopilot or manual enrollment, compliance policy scoping, attestation reporting to Graph</w:t>
            </w:r>
          </w:p>
        </w:tc>
        <w:tc>
          <w:tcPr/>
          <w:p>
            <w:pPr>
              <w:pStyle w:val="Compact"/>
            </w:pPr>
            <w:r>
              <w:t xml:space="preserve">§13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Azure Arc enrollment</w:t>
            </w:r>
          </w:p>
        </w:tc>
        <w:tc>
          <w:tcPr/>
          <w:p>
            <w:pPr>
              <w:pStyle w:val="Compact"/>
            </w:pPr>
            <w:r>
              <w:t xml:space="preserve">Service principal auth, azcmagent connect, policy assignment, Monitor Agent extension</w:t>
            </w:r>
          </w:p>
        </w:tc>
        <w:tc>
          <w:tcPr/>
          <w:p>
            <w:pPr>
              <w:pStyle w:val="Compact"/>
            </w:pPr>
            <w:r>
              <w:t xml:space="preserve">§14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Backup, replication, DR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Backup-UIAOGitea</w:t>
            </w:r>
            <w:r>
              <w:t xml:space="preserve"> </w:t>
            </w:r>
            <w:r>
              <w:t xml:space="preserve">function, Azure Blob upload, active-passive replica, RPO/RTO targets</w:t>
            </w:r>
          </w:p>
        </w:tc>
        <w:tc>
          <w:tcPr/>
          <w:p>
            <w:pPr>
              <w:pStyle w:val="Compact"/>
            </w:pPr>
            <w:r>
              <w:t xml:space="preserve">§15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Security hardening</w:t>
            </w:r>
          </w:p>
        </w:tc>
        <w:tc>
          <w:tcPr/>
          <w:p>
            <w:pPr>
              <w:pStyle w:val="Compact"/>
            </w:pPr>
            <w:r>
              <w:t xml:space="preserve">CIS baseline, AppLocker, Defender for Servers Plan 2, audit policy, WDAC</w:t>
            </w:r>
          </w:p>
        </w:tc>
        <w:tc>
          <w:tcPr/>
          <w:p>
            <w:pPr>
              <w:pStyle w:val="Compact"/>
            </w:pPr>
            <w:r>
              <w:t xml:space="preserve">§16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OrgTree integration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OrgPath tagging · AU delegation · dynamic-group Gitea auth · MOD_M drift hooks · OrgPath-scoped Intune compliance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new — this page</w:t>
            </w:r>
          </w:p>
        </w:tc>
      </w:tr>
    </w:tbl>
    <w:bookmarkEnd w:id="16"/>
    <w:bookmarkStart w:id="22" w:name="phase-14-orgtree-integration"/>
    <w:p>
      <w:pPr>
        <w:pStyle w:val="Heading2"/>
      </w:pPr>
      <w:r>
        <w:t xml:space="preserve">Phase 14 — OrgTree Integration</w:t>
      </w:r>
    </w:p>
    <w:p>
      <w:pPr>
        <w:pStyle w:val="FirstParagraph"/>
      </w:pPr>
      <w:r>
        <w:t xml:space="preserve">Phase 14 registers the platform server inside the Modernization canon. Five</w:t>
      </w:r>
      <w:r>
        <w:t xml:space="preserve"> </w:t>
      </w:r>
      <w:r>
        <w:t xml:space="preserve">sub-phases, each citing a MOD_* appendix rather than duplicating it.</w:t>
      </w:r>
    </w:p>
    <w:bookmarkStart w:id="17" w:name="orgpath-tagging"/>
    <w:p>
      <w:pPr>
        <w:pStyle w:val="Heading3"/>
      </w:pPr>
      <w:r>
        <w:t xml:space="preserve">14.1 OrgPath tagging</w:t>
      </w:r>
    </w:p>
    <w:p>
      <w:pPr>
        <w:pStyle w:val="FirstParagraph"/>
      </w:pPr>
      <w:r>
        <w:t xml:space="preserve">Every governed object — users, groups, devices, servers — carries an</w:t>
      </w:r>
      <w:r>
        <w:t xml:space="preserve"> </w:t>
      </w:r>
      <w:r>
        <w:t xml:space="preserve">OrgPath in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. The platform server sits in the IT</w:t>
      </w:r>
      <w:r>
        <w:t xml:space="preserve"> </w:t>
      </w:r>
      <w:r>
        <w:t xml:space="preserve">Infrastructure Platform branch.</w:t>
      </w:r>
    </w:p>
    <w:p>
      <w:pPr>
        <w:pStyle w:val="SourceCode"/>
      </w:pPr>
      <w:r>
        <w:rPr>
          <w:rStyle w:val="VerbatimChar"/>
        </w:rPr>
        <w:t xml:space="preserve">OrgPath:  ORG-IT-INF-PLATFORM</w:t>
      </w:r>
      <w:r>
        <w:br/>
      </w:r>
      <w:r>
        <w:rPr>
          <w:rStyle w:val="VerbatimChar"/>
        </w:rPr>
        <w:t xml:space="preserve">Codebook: MOD_A (OrgPath Codebook) — validation regex ^ORG(-[A-Z]{2,6}){0,4}$</w:t>
      </w:r>
    </w:p>
    <w:p>
      <w:pPr>
        <w:pStyle w:val="FirstParagraph"/>
      </w:pPr>
      <w:r>
        <w:t xml:space="preserve">Set the OrgPath on the Entra device object and mirror it to Azure tags on</w:t>
      </w:r>
      <w:r>
        <w:t xml:space="preserve"> </w:t>
      </w:r>
      <w:r>
        <w:t xml:space="preserve">the Arc-projected resource:</w:t>
      </w:r>
    </w:p>
    <w:p>
      <w:pPr>
        <w:pStyle w:val="SourceCode"/>
      </w:pPr>
      <w:r>
        <w:rPr>
          <w:rStyle w:val="CommentTok"/>
        </w:rPr>
        <w:t xml:space="preserve"># Entra device object — set extensionAttribute1</w:t>
      </w:r>
      <w:r>
        <w:br/>
      </w:r>
      <w:r>
        <w:rPr>
          <w:rStyle w:val="NormalTok"/>
        </w:rPr>
        <w:t xml:space="preserve">Update-MgDevice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DeviceId </w:t>
      </w:r>
      <w:r>
        <w:rPr>
          <w:rStyle w:val="VariableTok"/>
        </w:rPr>
        <w:t xml:space="preserve">$serverDeviceId</w:t>
      </w:r>
      <w:r>
        <w:rPr>
          <w:rStyle w:val="NormalTok"/>
        </w:rPr>
        <w:t xml:space="preserve"> `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ExtensionAttributes @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extensionAttribute1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"ORG-IT-INF-PLATFORM"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Azure Arc resource — mirror to tags (extends Posted §14.6)</w:t>
      </w:r>
      <w:r>
        <w:br/>
      </w:r>
      <w:r>
        <w:rPr>
          <w:rStyle w:val="NormalTok"/>
        </w:rPr>
        <w:t xml:space="preserve">az connectedmachine update `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--</w:t>
      </w:r>
      <w:r>
        <w:rPr>
          <w:rStyle w:val="NormalTok"/>
        </w:rPr>
        <w:t xml:space="preserve">name </w:t>
      </w:r>
      <w:r>
        <w:rPr>
          <w:rStyle w:val="StringTok"/>
        </w:rPr>
        <w:t xml:space="preserve">"UIAO-GIT01"</w:t>
      </w:r>
      <w:r>
        <w:rPr>
          <w:rStyle w:val="NormalTok"/>
        </w:rPr>
        <w:t xml:space="preserve"> `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--</w:t>
      </w:r>
      <w:r>
        <w:rPr>
          <w:rStyle w:val="NormalTok"/>
        </w:rPr>
        <w:t xml:space="preserve">resource-group </w:t>
      </w:r>
      <w:r>
        <w:rPr>
          <w:rStyle w:val="StringTok"/>
        </w:rPr>
        <w:t xml:space="preserve">"rg-uiao-governance"</w:t>
      </w:r>
      <w:r>
        <w:rPr>
          <w:rStyle w:val="NormalTok"/>
        </w:rPr>
        <w:t xml:space="preserve"> `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--</w:t>
      </w:r>
      <w:r>
        <w:rPr>
          <w:rStyle w:val="NormalTok"/>
        </w:rPr>
        <w:t xml:space="preserve">tags OrgPath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ORG-IT-INF-PLATFORM `</w:t>
      </w:r>
      <w:r>
        <w:br/>
      </w:r>
      <w:r>
        <w:rPr>
          <w:rStyle w:val="NormalTok"/>
        </w:rPr>
        <w:t xml:space="preserve">         OrgPathBranch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ORG-IT-INF `</w:t>
      </w:r>
      <w:r>
        <w:br/>
      </w:r>
      <w:r>
        <w:rPr>
          <w:rStyle w:val="NormalTok"/>
        </w:rPr>
        <w:t xml:space="preserve">         OrgPathDivision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ORG-IT `</w:t>
      </w:r>
      <w:r>
        <w:br/>
      </w:r>
      <w:r>
        <w:rPr>
          <w:rStyle w:val="NormalTok"/>
        </w:rPr>
        <w:t xml:space="preserve">         DeviceRole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GitServer `</w:t>
      </w:r>
      <w:r>
        <w:br/>
      </w:r>
      <w:r>
        <w:rPr>
          <w:rStyle w:val="NormalTok"/>
        </w:rPr>
        <w:t xml:space="preserve">         DeviceTier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Tier0</w:t>
      </w:r>
    </w:p>
    <w:p>
      <w:pPr>
        <w:pStyle w:val="FirstParagraph"/>
      </w:pPr>
      <w:r>
        <w:t xml:space="preserve">The codebook entry</w:t>
      </w:r>
      <w:r>
        <w:t xml:space="preserve"> </w:t>
      </w:r>
      <w:r>
        <w:rPr>
          <w:rStyle w:val="VerbatimChar"/>
        </w:rPr>
        <w:t xml:space="preserve">ORG-IT-INF-PLATFORM</w:t>
      </w:r>
      <w:r>
        <w:t xml:space="preserve"> </w:t>
      </w:r>
      <w:r>
        <w:t xml:space="preserve">must exist in MOD_A before this</w:t>
      </w:r>
      <w:r>
        <w:t xml:space="preserve"> </w:t>
      </w:r>
      <w:r>
        <w:t xml:space="preserve">runs; missing entries are rejected by MOD_H (OrgPath JSON Schema) and flagged</w:t>
      </w:r>
      <w:r>
        <w:t xml:space="preserve"> </w:t>
      </w:r>
      <w:r>
        <w:t xml:space="preserve">as</w:t>
      </w:r>
      <w:r>
        <w:t xml:space="preserve"> </w:t>
      </w:r>
      <w:r>
        <w:rPr>
          <w:b/>
          <w:bCs/>
        </w:rPr>
        <w:t xml:space="preserve">Format Drift</w:t>
      </w:r>
      <w:r>
        <w:t xml:space="preserve"> </w:t>
      </w:r>
      <w:r>
        <w:t xml:space="preserve">by MOD_M.</w:t>
      </w:r>
    </w:p>
    <w:p>
      <w:pPr>
        <w:pStyle w:val="BodyText"/>
      </w:pPr>
      <w:r>
        <w:rPr>
          <w:b/>
          <w:bCs/>
        </w:rPr>
        <w:t xml:space="preserve">Canonical references:</w:t>
      </w:r>
      <w:r>
        <w:t xml:space="preserve"> </w:t>
      </w:r>
      <w:r>
        <w:t xml:space="preserve">MOD_A (codebook), MOD_C (attribute mapping),</w:t>
      </w:r>
      <w:r>
        <w:t xml:space="preserve"> </w:t>
      </w:r>
      <w:r>
        <w:t xml:space="preserve">MOD_H (JSON schema).</w:t>
      </w:r>
    </w:p>
    <w:bookmarkEnd w:id="17"/>
    <w:bookmarkStart w:id="18" w:name="X52893d75819aaa14798fefc0af2f6652f0e13a8"/>
    <w:p>
      <w:pPr>
        <w:pStyle w:val="Heading3"/>
      </w:pPr>
      <w:r>
        <w:t xml:space="preserve">14.2 Administrative Unit for server-admin delegation</w:t>
      </w:r>
    </w:p>
    <w:p>
      <w:pPr>
        <w:pStyle w:val="FirstParagraph"/>
      </w:pPr>
      <w:r>
        <w:t xml:space="preserve">Server administration is delegated via an AU scoped to the Platform team’s</w:t>
      </w:r>
      <w:r>
        <w:t xml:space="preserve"> </w:t>
      </w:r>
      <w:r>
        <w:t xml:space="preserve">OrgPath. The AU is a Tier-3 Department-level unit per MOD_D’s three-tier</w:t>
      </w:r>
      <w:r>
        <w:t xml:space="preserve"> </w:t>
      </w:r>
      <w:r>
        <w:t xml:space="preserve">delegation model.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 name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AU-ORG-IT-INF-PLATFORM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Tier</w:t>
            </w:r>
          </w:p>
        </w:tc>
        <w:tc>
          <w:tcPr/>
          <w:p>
            <w:pPr>
              <w:pStyle w:val="Compact"/>
            </w:pPr>
            <w:r>
              <w:t xml:space="preserve">3 (Department)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Membership rule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(user.extensionAttribute1 -startsWith "ORG-IT-INF-PLATFORM")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Restricted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Scoped roles</w:t>
            </w:r>
          </w:p>
        </w:tc>
        <w:tc>
          <w:tcPr/>
          <w:p>
            <w:pPr>
              <w:pStyle w:val="Compact"/>
            </w:pPr>
            <w:r>
              <w:t xml:space="preserve">Authentication Administrator · User Administrator · Helpdesk Administrator</w:t>
            </w:r>
          </w:p>
        </w:tc>
      </w:tr>
    </w:tbl>
    <w:p>
      <w:pPr>
        <w:pStyle w:val="BodyText"/>
      </w:pPr>
      <w:r>
        <w:t xml:space="preserve">Create and populate via MS Graph:</w:t>
      </w:r>
    </w:p>
    <w:p>
      <w:pPr>
        <w:pStyle w:val="SourceCode"/>
      </w:pPr>
      <w:r>
        <w:rPr>
          <w:rStyle w:val="CommentTok"/>
        </w:rPr>
        <w:t xml:space="preserve"># Create the AU (idempotent — pattern per MOD_D)</w:t>
      </w:r>
      <w:r>
        <w:br/>
      </w:r>
      <w:r>
        <w:rPr>
          <w:rStyle w:val="VariableTok"/>
        </w:rPr>
        <w:t xml:space="preserve">$au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New-MgDirectoryAdministrativeUnit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BodyParameter @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displayName   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"AU-ORG-IT-INF-PLATFORM"</w:t>
      </w:r>
      <w:r>
        <w:br/>
      </w:r>
      <w:r>
        <w:rPr>
          <w:rStyle w:val="NormalTok"/>
        </w:rPr>
        <w:t xml:space="preserve">  description   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"Platform infrastructure team — scoped delegation"</w:t>
      </w:r>
      <w:r>
        <w:br/>
      </w:r>
      <w:r>
        <w:rPr>
          <w:rStyle w:val="NormalTok"/>
        </w:rPr>
        <w:t xml:space="preserve">  visibility    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"HiddenMembership"</w:t>
      </w:r>
      <w:r>
        <w:br/>
      </w:r>
      <w:r>
        <w:rPr>
          <w:rStyle w:val="NormalTok"/>
        </w:rPr>
        <w:t xml:space="preserve">  isMemberManagementRestricted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$true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Assign scoped role (pattern from MOD_D Role Assignment Matrix)</w:t>
      </w:r>
      <w:r>
        <w:br/>
      </w:r>
      <w:r>
        <w:rPr>
          <w:rStyle w:val="NormalTok"/>
        </w:rPr>
        <w:t xml:space="preserve">New-MgRoleManagementDirectoryRoleAssignment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BodyParameter @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roleDefinitionId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"&lt;Authentication Administrator roleTemplateId&gt;"</w:t>
      </w:r>
      <w:r>
        <w:br/>
      </w:r>
      <w:r>
        <w:rPr>
          <w:rStyle w:val="NormalTok"/>
        </w:rPr>
        <w:t xml:space="preserve">  principalId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"&lt;OrgTree-IT-INF-PLATFORM-Admins group objectId&gt;"</w:t>
      </w:r>
      <w:r>
        <w:br/>
      </w:r>
      <w:r>
        <w:rPr>
          <w:rStyle w:val="NormalTok"/>
        </w:rPr>
        <w:t xml:space="preserve">  directoryScopeId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"/administrativeUnits/</w:t>
      </w:r>
      <w:r>
        <w:rPr>
          <w:rStyle w:val="OperatorTok"/>
        </w:rPr>
        <w:t xml:space="preserve">$(</w:t>
      </w:r>
      <w:r>
        <w:rPr>
          <w:rStyle w:val="VariableTok"/>
        </w:rPr>
        <w:t xml:space="preserve">$au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OperatorTok"/>
        </w:rPr>
        <w:t xml:space="preserve">)</w:t>
      </w:r>
      <w:r>
        <w:rPr>
          <w:rStyle w:val="StringTok"/>
        </w:rPr>
        <w:t xml:space="preserve">"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Global roles (Global Administrator, Privileged Role Administrator) are</w:t>
      </w:r>
      <w:r>
        <w:t xml:space="preserve"> </w:t>
      </w:r>
      <w:r>
        <w:t xml:space="preserve">explicitly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granted here; platform administrators have no tenant-wide</w:t>
      </w:r>
      <w:r>
        <w:t xml:space="preserve"> </w:t>
      </w:r>
      <w:r>
        <w:t xml:space="preserve">scope.</w:t>
      </w:r>
    </w:p>
    <w:p>
      <w:pPr>
        <w:pStyle w:val="BodyText"/>
      </w:pPr>
      <w:r>
        <w:rPr>
          <w:b/>
          <w:bCs/>
        </w:rPr>
        <w:t xml:space="preserve">Canonical references:</w:t>
      </w:r>
      <w:r>
        <w:t xml:space="preserve"> </w:t>
      </w:r>
      <w:r>
        <w:t xml:space="preserve">MOD_D (Delegation Matrix — §Tier 3 Department AUs),</w:t>
      </w:r>
      <w:r>
        <w:t xml:space="preserve"> </w:t>
      </w:r>
      <w:r>
        <w:t xml:space="preserve">MOD_Q (SLA Escalation Playbooks — for permission-review cadence).</w:t>
      </w:r>
    </w:p>
    <w:bookmarkEnd w:id="18"/>
    <w:bookmarkStart w:id="19" w:name="gitea-authorization-via-dynamic-groups"/>
    <w:p>
      <w:pPr>
        <w:pStyle w:val="Heading3"/>
      </w:pPr>
      <w:r>
        <w:t xml:space="preserve">14.3 Gitea authorization via dynamic groups</w:t>
      </w:r>
    </w:p>
    <w:p>
      <w:pPr>
        <w:pStyle w:val="FirstParagraph"/>
      </w:pPr>
      <w:r>
        <w:t xml:space="preserve">Gitea’s team model maps to OrgTree dynamic groups rather than hand-maintained</w:t>
      </w:r>
      <w:r>
        <w:t xml:space="preserve"> </w:t>
      </w:r>
      <w:r>
        <w:t xml:space="preserve">membership. Three groups govern the UIAO canon repo: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Gitea role</w:t>
            </w:r>
          </w:p>
        </w:tc>
        <w:tc>
          <w:tcPr/>
          <w:p>
            <w:pPr>
              <w:pStyle w:val="Compact"/>
            </w:pPr>
            <w:r>
              <w:t xml:space="preserve">Dynamic group</w:t>
            </w:r>
          </w:p>
        </w:tc>
        <w:tc>
          <w:tcPr/>
          <w:p>
            <w:pPr>
              <w:pStyle w:val="Compact"/>
            </w:pPr>
            <w:r>
              <w:t xml:space="preserve">Membership rule (MOD_B §Pattern 1)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OrgTree-IT-INF-PLATFORM-CanonStewards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(user.extensionAttribute1 -eq "ORG-IT-INF-PLATFORM-STW")</w:t>
            </w:r>
          </w:p>
        </w:tc>
      </w:tr>
      <w:tr>
        <w:tc>
          <w:tcPr/>
          <w:p>
            <w:pPr>
              <w:pStyle w:val="Compact"/>
            </w:pPr>
            <w:r>
              <w:t xml:space="preserve">Write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OrgTree-IT-INF-PLATFORM-Contributors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(user.extensionAttribute1 -startsWith "ORG-IT-INF-PLATFORM")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OrgTree-IT-INF-Users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(user.extensionAttribute1 -startsWith "ORG-IT-INF")</w:t>
            </w:r>
          </w:p>
        </w:tc>
      </w:tr>
    </w:tbl>
    <w:p>
      <w:pPr>
        <w:pStyle w:val="BodyText"/>
      </w:pPr>
      <w:r>
        <w:t xml:space="preserve">Because the Entra OIDC provider (Posted §10) emits group claims, Gitea sees</w:t>
      </w:r>
      <w:r>
        <w:t xml:space="preserve"> </w:t>
      </w:r>
      <w:r>
        <w:t xml:space="preserve">dynamic-group membership as native team membership — no manual Gitea user</w:t>
      </w:r>
      <w:r>
        <w:t xml:space="preserve"> </w:t>
      </w:r>
      <w:r>
        <w:t xml:space="preserve">admin is required. A user’s move in the HR feed propagates through the</w:t>
      </w:r>
      <w:r>
        <w:t xml:space="preserve"> </w:t>
      </w:r>
      <w:r>
        <w:t xml:space="preserve">dynamic-group rules and arrives as a Gitea permission change within the</w:t>
      </w:r>
      <w:r>
        <w:t xml:space="preserve"> </w:t>
      </w:r>
      <w:r>
        <w:t xml:space="preserve">Entra group-recalculation window (typically &lt; 15 minutes).</w:t>
      </w:r>
    </w:p>
    <w:p>
      <w:pPr>
        <w:pStyle w:val="BodyText"/>
      </w:pPr>
      <w:r>
        <w:t xml:space="preserve">Group names must conform to</w:t>
      </w:r>
      <w:r>
        <w:t xml:space="preserve"> </w:t>
      </w:r>
      <w:r>
        <w:rPr>
          <w:rStyle w:val="VerbatimChar"/>
        </w:rPr>
        <w:t xml:space="preserve">OrgTree-[SCOPE]-[PURPOSE]</w:t>
      </w:r>
      <w:r>
        <w:t xml:space="preserve"> </w:t>
      </w:r>
      <w:r>
        <w:t xml:space="preserve">per MOD_B §Naming</w:t>
      </w:r>
      <w:r>
        <w:t xml:space="preserve"> </w:t>
      </w:r>
      <w:r>
        <w:t xml:space="preserve">Convention. Non-conforming groups are Phantom Drift.</w:t>
      </w:r>
    </w:p>
    <w:p>
      <w:pPr>
        <w:pStyle w:val="BodyText"/>
      </w:pPr>
      <w:r>
        <w:rPr>
          <w:b/>
          <w:bCs/>
        </w:rPr>
        <w:t xml:space="preserve">Canonical references:</w:t>
      </w:r>
      <w:r>
        <w:t xml:space="preserve"> </w:t>
      </w:r>
      <w:r>
        <w:t xml:space="preserve">MOD_B (Dynamic Group Library — §Naming, §Pattern 1</w:t>
      </w:r>
      <w:r>
        <w:t xml:space="preserve"> </w:t>
      </w:r>
      <w:r>
        <w:t xml:space="preserve">Branch Query), MOD_E (Governance Workflow Catalog — joiner/mover/leaver</w:t>
      </w:r>
      <w:r>
        <w:t xml:space="preserve"> </w:t>
      </w:r>
      <w:r>
        <w:t xml:space="preserve">recalculation).</w:t>
      </w:r>
    </w:p>
    <w:bookmarkEnd w:id="19"/>
    <w:bookmarkStart w:id="20" w:name="mod_m-drift-detection-hook"/>
    <w:p>
      <w:pPr>
        <w:pStyle w:val="Heading3"/>
      </w:pPr>
      <w:r>
        <w:t xml:space="preserve">14.4 MOD_M drift detection hook</w:t>
      </w:r>
    </w:p>
    <w:p>
      <w:pPr>
        <w:pStyle w:val="FirstParagraph"/>
      </w:pPr>
      <w:r>
        <w:t xml:space="preserve">The platform server emits its canonical state to MOD_M on a schedule. Five</w:t>
      </w:r>
      <w:r>
        <w:t xml:space="preserve"> </w:t>
      </w:r>
      <w:r>
        <w:t xml:space="preserve">drift signals are reported; any non-zero count opens an SLA ticket per MOD_Q.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Signal</w:t>
            </w:r>
          </w:p>
        </w:tc>
        <w:tc>
          <w:tcPr/>
          <w:p>
            <w:pPr>
              <w:pStyle w:val="Compact"/>
            </w:pPr>
            <w:r>
              <w:t xml:space="preserve">Detection</w:t>
            </w:r>
          </w:p>
        </w:tc>
        <w:tc>
          <w:tcPr/>
          <w:p>
            <w:pPr>
              <w:pStyle w:val="Compact"/>
            </w:pPr>
            <w:r>
              <w:t xml:space="preserve">Drift category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OrgPath mismatch (Entra vs. Azure tag)</w:t>
            </w:r>
          </w:p>
        </w:tc>
        <w:tc>
          <w:tcPr/>
          <w:p>
            <w:pPr>
              <w:pStyle w:val="Compact"/>
            </w:pPr>
            <w:r>
              <w:t xml:space="preserve">Compare</w:t>
            </w:r>
            <w:r>
              <w:t xml:space="preserve"> </w:t>
            </w:r>
            <w:r>
              <w:rPr>
                <w:rStyle w:val="VerbatimChar"/>
              </w:rPr>
              <w:t xml:space="preserve">extensionAttribute1</w:t>
            </w:r>
            <w:r>
              <w:t xml:space="preserve"> </w:t>
            </w:r>
            <w:r>
              <w:t xml:space="preserve">to Arc</w:t>
            </w:r>
            <w:r>
              <w:t xml:space="preserve"> </w:t>
            </w:r>
            <w:r>
              <w:rPr>
                <w:rStyle w:val="VerbatimChar"/>
              </w:rPr>
              <w:t xml:space="preserve">OrgPath</w:t>
            </w:r>
            <w:r>
              <w:t xml:space="preserve"> </w:t>
            </w:r>
            <w:r>
              <w:t xml:space="preserve">tag</w:t>
            </w:r>
          </w:p>
        </w:tc>
        <w:tc>
          <w:tcPr/>
          <w:p>
            <w:pPr>
              <w:pStyle w:val="Compact"/>
            </w:pPr>
            <w:r>
              <w:t xml:space="preserve">Value Drift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OrgPath not in codebook</w:t>
            </w:r>
          </w:p>
        </w:tc>
        <w:tc>
          <w:tcPr/>
          <w:p>
            <w:pPr>
              <w:pStyle w:val="Compact"/>
            </w:pPr>
            <w:r>
              <w:t xml:space="preserve">Regex + MOD_A lookup</w:t>
            </w:r>
          </w:p>
        </w:tc>
        <w:tc>
          <w:tcPr/>
          <w:p>
            <w:pPr>
              <w:pStyle w:val="Compact"/>
            </w:pPr>
            <w:r>
              <w:t xml:space="preserve">Format Drift / Orphan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 membership lost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Get-MgDirectoryAdministrativeUnitMember</w:t>
            </w:r>
            <w:r>
              <w:t xml:space="preserve"> </w:t>
            </w:r>
            <w:r>
              <w:t xml:space="preserve">returns empty</w:t>
            </w:r>
          </w:p>
        </w:tc>
        <w:tc>
          <w:tcPr/>
          <w:p>
            <w:pPr>
              <w:pStyle w:val="Compact"/>
            </w:pPr>
            <w:r>
              <w:t xml:space="preserve">Hierarchy Drift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Dynamic group missing from Gitea team</w:t>
            </w:r>
          </w:p>
        </w:tc>
        <w:tc>
          <w:tcPr/>
          <w:p>
            <w:pPr>
              <w:pStyle w:val="Compact"/>
            </w:pPr>
            <w:r>
              <w:t xml:space="preserve">Graph group claim vs. Gitea team list</w:t>
            </w:r>
          </w:p>
        </w:tc>
        <w:tc>
          <w:tcPr/>
          <w:p>
            <w:pPr>
              <w:pStyle w:val="Compact"/>
            </w:pPr>
            <w:r>
              <w:t xml:space="preserve">Phantom Drift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 agent heartbeat stale &gt; 24h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azcmagent show</w:t>
            </w:r>
            <w:r>
              <w:t xml:space="preserve"> </w:t>
            </w:r>
            <w:r>
              <w:t xml:space="preserve">lastHeartbeat</w:t>
            </w:r>
          </w:p>
        </w:tc>
        <w:tc>
          <w:tcPr/>
          <w:p>
            <w:pPr>
              <w:pStyle w:val="Compact"/>
            </w:pPr>
            <w:r>
              <w:t xml:space="preserve">Operational (non-drift alert)</w:t>
            </w:r>
          </w:p>
        </w:tc>
      </w:tr>
    </w:tbl>
    <w:p>
      <w:pPr>
        <w:pStyle w:val="BodyText"/>
      </w:pPr>
      <w:r>
        <w:t xml:space="preserve">Reporter script runs as a scheduled task under the service principal used</w:t>
      </w:r>
      <w:r>
        <w:t xml:space="preserve"> </w:t>
      </w:r>
      <w:r>
        <w:t xml:space="preserve">for Arc (no interactive credentials on the box):</w:t>
      </w:r>
    </w:p>
    <w:p>
      <w:pPr>
        <w:pStyle w:val="SourceCode"/>
      </w:pPr>
      <w:r>
        <w:rPr>
          <w:rStyle w:val="CommentTok"/>
        </w:rPr>
        <w:t xml:space="preserve"># Phase 14.4 — MOD_M drift reporter (skeleton)</w:t>
      </w:r>
      <w:r>
        <w:br/>
      </w:r>
      <w:r>
        <w:rPr>
          <w:rStyle w:val="VariableTok"/>
        </w:rPr>
        <w:t xml:space="preserve">$state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ordered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@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deviceId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$env</w:t>
      </w:r>
      <w:r>
        <w:rPr>
          <w:rStyle w:val="OperatorTok"/>
        </w:rPr>
        <w:t xml:space="preserve">:</w:t>
      </w:r>
      <w:r>
        <w:rPr>
          <w:rStyle w:val="VariableTok"/>
        </w:rPr>
        <w:t xml:space="preserve">ComputerName</w:t>
      </w:r>
      <w:r>
        <w:br/>
      </w:r>
      <w:r>
        <w:rPr>
          <w:rStyle w:val="NormalTok"/>
        </w:rPr>
        <w:t xml:space="preserve">  orgPath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Get-ArcTag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Key OrgPath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expectedPath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Get-EntraDeviceAttr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DeviceId </w:t>
      </w:r>
      <w:r>
        <w:rPr>
          <w:rStyle w:val="VariableTok"/>
        </w:rPr>
        <w:t xml:space="preserve">$deviceId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Name extensionAttribute1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auId     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Get-MgDirectoryAdministrativeUnit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Filter </w:t>
      </w:r>
      <w:r>
        <w:rPr>
          <w:rStyle w:val="StringTok"/>
        </w:rPr>
        <w:t xml:space="preserve">"displayName eq 'AU-ORG-IT-INF-PLATFORM'"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Id</w:t>
      </w:r>
      <w:r>
        <w:br/>
      </w:r>
      <w:r>
        <w:rPr>
          <w:rStyle w:val="NormalTok"/>
        </w:rPr>
        <w:t xml:space="preserve">  gitEAuthTeams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Invoke-GiteaApi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Endpoint </w:t>
      </w:r>
      <w:r>
        <w:rPr>
          <w:rStyle w:val="StringTok"/>
        </w:rPr>
        <w:t xml:space="preserve">"/orgs/uiao/teams"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Select-Object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ExpandProperty name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timestamp   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Get-Date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Format o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Submit-DriftReport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Engine MOD_M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Payload </w:t>
      </w:r>
      <w:r>
        <w:rPr>
          <w:rStyle w:val="VariableTok"/>
        </w:rPr>
        <w:t xml:space="preserve">$state</w:t>
      </w:r>
    </w:p>
    <w:p>
      <w:pPr>
        <w:pStyle w:val="FirstParagraph"/>
      </w:pPr>
      <w:r>
        <w:t xml:space="preserve">Full reporter and schema are canonical in MOD_M; the Posted §17 Validation</w:t>
      </w:r>
      <w:r>
        <w:t xml:space="preserve"> </w:t>
      </w:r>
      <w:r>
        <w:t xml:space="preserve">and Smoke Testing section becomes a consumer of this payload.</w:t>
      </w:r>
    </w:p>
    <w:p>
      <w:pPr>
        <w:pStyle w:val="BodyText"/>
      </w:pPr>
      <w:r>
        <w:rPr>
          <w:b/>
          <w:bCs/>
        </w:rPr>
        <w:t xml:space="preserve">Canonical references:</w:t>
      </w:r>
      <w:r>
        <w:t xml:space="preserve"> </w:t>
      </w:r>
      <w:r>
        <w:t xml:space="preserve">MOD_M (Drift Detection Engine Specification — §Five</w:t>
      </w:r>
      <w:r>
        <w:t xml:space="preserve"> </w:t>
      </w:r>
      <w:r>
        <w:t xml:space="preserve">Drift Categories), MOD_Q (SLA Escalation Playbooks), MOD_X (Telemetry Model).</w:t>
      </w:r>
    </w:p>
    <w:bookmarkEnd w:id="20"/>
    <w:bookmarkStart w:id="21" w:name="Xa857a2d4bcb751e2b10b27fc7bbce51a1c6cbe7"/>
    <w:p>
      <w:pPr>
        <w:pStyle w:val="Heading3"/>
      </w:pPr>
      <w:r>
        <w:t xml:space="preserve">14.5 OrgPath-scoped Intune compliance targeting</w:t>
      </w:r>
    </w:p>
    <w:p>
      <w:pPr>
        <w:pStyle w:val="FirstParagraph"/>
      </w:pPr>
      <w:r>
        <w:t xml:space="preserve">Phase 10 in the Posted guide applies a flat compliance policy. Phase 14.5</w:t>
      </w:r>
      <w:r>
        <w:t xml:space="preserve"> </w:t>
      </w:r>
      <w:r>
        <w:t xml:space="preserve">scopes that policy to devices whose</w:t>
      </w:r>
      <w:r>
        <w:t xml:space="preserve"> </w:t>
      </w:r>
      <w:r>
        <w:rPr>
          <w:rStyle w:val="VerbatimChar"/>
        </w:rPr>
        <w:t xml:space="preserve">OrgPath</w:t>
      </w:r>
      <w:r>
        <w:t xml:space="preserve"> </w:t>
      </w:r>
      <w:r>
        <w:t xml:space="preserve">device-attribute starts with</w:t>
      </w:r>
      <w:r>
        <w:t xml:space="preserve"> </w:t>
      </w:r>
      <w:r>
        <w:t xml:space="preserve">the Platform branch.</w:t>
      </w:r>
    </w:p>
    <w:p>
      <w:pPr>
        <w:pStyle w:val="SourceCode"/>
      </w:pPr>
      <w:r>
        <w:rPr>
          <w:rStyle w:val="VerbatimChar"/>
        </w:rPr>
        <w:t xml:space="preserve">Device dynamic group:  OrgTree-IT-INF-PLATFORM-Devices</w:t>
      </w:r>
      <w:r>
        <w:br/>
      </w:r>
      <w:r>
        <w:rPr>
          <w:rStyle w:val="VerbatimChar"/>
        </w:rPr>
        <w:t xml:space="preserve">Membership rule:       (device.extensionAttribute1 -startsWith "ORG-IT-INF-PLATFORM")</w:t>
      </w:r>
      <w:r>
        <w:br/>
      </w:r>
      <w:r>
        <w:rPr>
          <w:rStyle w:val="VerbatimChar"/>
        </w:rPr>
        <w:t xml:space="preserve">Intune policy:         "UIAO-GIT-ServerCompliance-v2"</w:t>
      </w:r>
      <w:r>
        <w:br/>
      </w:r>
      <w:r>
        <w:rPr>
          <w:rStyle w:val="VerbatimChar"/>
        </w:rPr>
        <w:t xml:space="preserve">Assignment scope:      OrgTree-IT-INF-PLATFORM-Devices (include)</w:t>
      </w:r>
      <w:r>
        <w:br/>
      </w:r>
      <w:r>
        <w:rPr>
          <w:rStyle w:val="VerbatimChar"/>
        </w:rPr>
        <w:t xml:space="preserve">Exclusion:             none</w:t>
      </w:r>
    </w:p>
    <w:p>
      <w:pPr>
        <w:pStyle w:val="FirstParagraph"/>
      </w:pPr>
      <w:r>
        <w:t xml:space="preserve">Benefits: policy edits for the Platform branch don’t touch other IT</w:t>
      </w:r>
      <w:r>
        <w:t xml:space="preserve"> </w:t>
      </w:r>
      <w:r>
        <w:t xml:space="preserve">subgroups; joiner-replacement hardware inherits compliance targeting the</w:t>
      </w:r>
      <w:r>
        <w:t xml:space="preserve"> </w:t>
      </w:r>
      <w:r>
        <w:t xml:space="preserve">moment its OrgPath is set; the drift engine flags any platform device</w:t>
      </w:r>
      <w:r>
        <w:t xml:space="preserve"> </w:t>
      </w:r>
      <w:r>
        <w:t xml:space="preserve">whose OrgPath does not resolve to this group.</w:t>
      </w:r>
    </w:p>
    <w:p>
      <w:pPr>
        <w:pStyle w:val="BodyText"/>
      </w:pPr>
      <w:r>
        <w:rPr>
          <w:b/>
          <w:bCs/>
        </w:rPr>
        <w:t xml:space="preserve">Canonical references:</w:t>
      </w:r>
      <w:r>
        <w:t xml:space="preserve"> </w:t>
      </w:r>
      <w:r>
        <w:t xml:space="preserve">MOD_B (dynamic group patterns for device objects),</w:t>
      </w:r>
      <w:r>
        <w:t xml:space="preserve"> </w:t>
      </w:r>
      <w:r>
        <w:t xml:space="preserve">MOD_D (scoping), MOD_U (Multi-Cloud Boundary Model — confirms Intune falls</w:t>
      </w:r>
      <w:r>
        <w:t xml:space="preserve"> </w:t>
      </w:r>
      <w:r>
        <w:t xml:space="preserve">inside GCC-Moderate).</w:t>
      </w:r>
    </w:p>
    <w:bookmarkEnd w:id="21"/>
    <w:bookmarkEnd w:id="22"/>
    <w:bookmarkStart w:id="23" w:name="validation"/>
    <w:p>
      <w:pPr>
        <w:pStyle w:val="Heading2"/>
      </w:pPr>
      <w:r>
        <w:t xml:space="preserve">Validation</w:t>
      </w:r>
    </w:p>
    <w:p>
      <w:pPr>
        <w:pStyle w:val="FirstParagraph"/>
      </w:pPr>
      <w:r>
        <w:t xml:space="preserve">Phase 14 passes when: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ORG-IT-INF-PLATFORM</w:t>
      </w:r>
      <w:r>
        <w:t xml:space="preserve"> </w:t>
      </w:r>
      <w:r>
        <w:t xml:space="preserve">is present in MOD_A codebook YAML.</w:t>
      </w:r>
    </w:p>
    <w:p>
      <w:pPr>
        <w:pStyle w:val="Compact"/>
        <w:numPr>
          <w:ilvl w:val="0"/>
          <w:numId w:val="1003"/>
        </w:numPr>
      </w:pPr>
      <w:r>
        <w:t xml:space="preserve">The Entra device object for</w:t>
      </w:r>
      <w:r>
        <w:t xml:space="preserve"> </w:t>
      </w:r>
      <w:r>
        <w:rPr>
          <w:rStyle w:val="VerbatimChar"/>
        </w:rPr>
        <w:t xml:space="preserve">UIAO-GIT01</w:t>
      </w:r>
      <w:r>
        <w:t xml:space="preserve"> </w:t>
      </w:r>
      <w:r>
        <w:t xml:space="preserve">has</w:t>
      </w:r>
      <w:r>
        <w:t xml:space="preserve"> </w:t>
      </w:r>
      <w:r>
        <w:rPr>
          <w:rStyle w:val="VerbatimChar"/>
        </w:rPr>
        <w:t xml:space="preserve">extensionAttribute1 =     ORG-IT-INF-PLATFORM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Azure Arc tags on</w:t>
      </w:r>
      <w:r>
        <w:t xml:space="preserve"> </w:t>
      </w:r>
      <w:r>
        <w:rPr>
          <w:rStyle w:val="VerbatimChar"/>
        </w:rPr>
        <w:t xml:space="preserve">UIAO-GIT01</w:t>
      </w:r>
      <w:r>
        <w:t xml:space="preserve"> </w:t>
      </w:r>
      <w:r>
        <w:t xml:space="preserve">include</w:t>
      </w:r>
      <w:r>
        <w:t xml:space="preserve"> </w:t>
      </w:r>
      <w:r>
        <w:rPr>
          <w:rStyle w:val="VerbatimChar"/>
        </w:rPr>
        <w:t xml:space="preserve">OrgPath=ORG-IT-INF-PLATFORM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AU-ORG-IT-INF-PLATFORM</w:t>
      </w:r>
      <w:r>
        <w:t xml:space="preserve"> </w:t>
      </w:r>
      <w:r>
        <w:t xml:space="preserve">exists, is restricted, and contains the</w:t>
      </w:r>
      <w:r>
        <w:t xml:space="preserve"> </w:t>
      </w:r>
      <w:r>
        <w:t xml:space="preserve">Platform Stewards and Contributors groups as members.</w:t>
      </w:r>
    </w:p>
    <w:p>
      <w:pPr>
        <w:pStyle w:val="Compact"/>
        <w:numPr>
          <w:ilvl w:val="0"/>
          <w:numId w:val="1006"/>
        </w:numPr>
      </w:pPr>
      <w:r>
        <w:t xml:space="preserve">The three Gitea teams map 1:1 to the dynamic groups in §14.3.</w:t>
      </w:r>
    </w:p>
    <w:p>
      <w:pPr>
        <w:pStyle w:val="Compact"/>
        <w:numPr>
          <w:ilvl w:val="0"/>
          <w:numId w:val="1007"/>
        </w:numPr>
      </w:pPr>
      <w:r>
        <w:t xml:space="preserve">A manual</w:t>
      </w:r>
      <w:r>
        <w:t xml:space="preserve"> </w:t>
      </w:r>
      <w:r>
        <w:rPr>
          <w:rStyle w:val="VerbatimChar"/>
        </w:rPr>
        <w:t xml:space="preserve">Submit-DriftReport</w:t>
      </w:r>
      <w:r>
        <w:t xml:space="preserve"> </w:t>
      </w:r>
      <w:r>
        <w:t xml:space="preserve">returns zero drift findings.</w:t>
      </w:r>
    </w:p>
    <w:p>
      <w:pPr>
        <w:pStyle w:val="Compact"/>
        <w:numPr>
          <w:ilvl w:val="0"/>
          <w:numId w:val="1008"/>
        </w:numPr>
      </w:pPr>
      <w:r>
        <w:t xml:space="preserve">Intune compliance policy</w:t>
      </w:r>
      <w:r>
        <w:t xml:space="preserve"> </w:t>
      </w:r>
      <w:r>
        <w:rPr>
          <w:rStyle w:val="VerbatimChar"/>
        </w:rPr>
        <w:t xml:space="preserve">UIAO-GIT-ServerCompliance-v2</w:t>
      </w:r>
      <w:r>
        <w:t xml:space="preserve"> </w:t>
      </w:r>
      <w:r>
        <w:t xml:space="preserve">is assigned</w:t>
      </w:r>
      <w:r>
        <w:t xml:space="preserve"> </w:t>
      </w:r>
      <w:r>
        <w:t xml:space="preserve">only to</w:t>
      </w:r>
      <w:r>
        <w:t xml:space="preserve"> </w:t>
      </w:r>
      <w:r>
        <w:rPr>
          <w:rStyle w:val="VerbatimChar"/>
        </w:rPr>
        <w:t xml:space="preserve">OrgTree-IT-INF-PLATFORM-Devices</w:t>
      </w:r>
      <w:r>
        <w:t xml:space="preserve">.</w:t>
      </w:r>
    </w:p>
    <w:bookmarkEnd w:id="23"/>
    <w:bookmarkStart w:id="28" w:name="canonical-references"/>
    <w:p>
      <w:pPr>
        <w:pStyle w:val="Heading2"/>
      </w:pPr>
      <w:r>
        <w:t xml:space="preserve">Canonical references</w:t>
      </w:r>
    </w:p>
    <w:p>
      <w:pPr>
        <w:pStyle w:val="FirstParagraph"/>
      </w:pPr>
      <w:r>
        <w:t xml:space="preserve">Every appendix is listed in</w:t>
      </w:r>
      <w:r>
        <w:t xml:space="preserve"> </w:t>
      </w:r>
      <w:hyperlink r:id="rId24">
        <w:r>
          <w:rPr>
            <w:rStyle w:val="Hyperlink"/>
          </w:rPr>
          <w:t xml:space="preserve">the OrgTree canon page</w:t>
        </w:r>
      </w:hyperlink>
      <w:r>
        <w:t xml:space="preserve">.</w:t>
      </w:r>
      <w:r>
        <w:t xml:space="preserve"> </w:t>
      </w:r>
      <w:r>
        <w:t xml:space="preserve">Source markdown lives at</w:t>
      </w:r>
      <w:r>
        <w:t xml:space="preserve"> </w:t>
      </w:r>
      <w:r>
        <w:rPr>
          <w:rStyle w:val="VerbatimChar"/>
        </w:rPr>
        <w:t xml:space="preserve">src/uiao/modernization/orgtree/</w:t>
      </w:r>
      <w:r>
        <w:t xml:space="preserve"> </w:t>
      </w:r>
      <w:r>
        <w:t xml:space="preserve">in the monorepo.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Appendix</w:t>
            </w:r>
          </w:p>
        </w:tc>
        <w:tc>
          <w:tcPr/>
          <w:p>
            <w:pPr>
              <w:pStyle w:val="Compact"/>
            </w:pPr>
            <w:r>
              <w:t xml:space="preserve">Title</w:t>
            </w:r>
          </w:p>
        </w:tc>
        <w:tc>
          <w:tcPr/>
          <w:p>
            <w:pPr>
              <w:pStyle w:val="Compact"/>
            </w:pPr>
            <w:r>
              <w:t xml:space="preserve">In-site anchor</w:t>
            </w:r>
          </w:p>
        </w:tc>
        <w:tc>
          <w:tcPr/>
          <w:p>
            <w:pPr>
              <w:pStyle w:val="Compact"/>
            </w:pPr>
            <w:r>
              <w:t xml:space="preserve">Used by phase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MOD_A</w:t>
            </w:r>
          </w:p>
        </w:tc>
        <w:tc>
          <w:tcPr/>
          <w:p>
            <w:pPr>
              <w:pStyle w:val="Compact"/>
            </w:pPr>
            <w:r>
              <w:t xml:space="preserve">OrgPath Codebook</w:t>
            </w:r>
          </w:p>
        </w:tc>
        <w:tc>
          <w:tcPr/>
          <w:p>
            <w:pPr>
              <w:pStyle w:val="Compact"/>
            </w:pPr>
            <w:hyperlink r:id="rId25">
              <w:r>
                <w:rPr>
                  <w:rStyle w:val="Hyperlink"/>
                </w:rPr>
                <w:t xml:space="preserve">codebook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14.1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MOD_B</w:t>
            </w:r>
          </w:p>
        </w:tc>
        <w:tc>
          <w:tcPr/>
          <w:p>
            <w:pPr>
              <w:pStyle w:val="Compact"/>
            </w:pPr>
            <w:r>
              <w:t xml:space="preserve">Dynamic Group Library</w:t>
            </w:r>
          </w:p>
        </w:tc>
        <w:tc>
          <w:tcPr/>
          <w:p>
            <w:pPr>
              <w:pStyle w:val="Compact"/>
            </w:pPr>
            <w:hyperlink r:id="rId26">
              <w:r>
                <w:rPr>
                  <w:rStyle w:val="Hyperlink"/>
                </w:rPr>
                <w:t xml:space="preserve">dynamic-groups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14.3, 14.5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MOD_C</w:t>
            </w:r>
          </w:p>
        </w:tc>
        <w:tc>
          <w:tcPr/>
          <w:p>
            <w:pPr>
              <w:pStyle w:val="Compact"/>
            </w:pPr>
            <w:r>
              <w:t xml:space="preserve">Attribute Mapping 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orgtree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14.1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MOD_D</w:t>
            </w:r>
          </w:p>
        </w:tc>
        <w:tc>
          <w:tcPr/>
          <w:p>
            <w:pPr>
              <w:pStyle w:val="Compact"/>
            </w:pPr>
            <w:r>
              <w:t xml:space="preserve">Delegation Matrix (AUs + Roles)</w:t>
            </w:r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Hyperlink"/>
                </w:rPr>
                <w:t xml:space="preserve">delegation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14.2, 14.5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MOD_E</w:t>
            </w:r>
          </w:p>
        </w:tc>
        <w:tc>
          <w:tcPr/>
          <w:p>
            <w:pPr>
              <w:pStyle w:val="Compact"/>
            </w:pPr>
            <w:r>
              <w:t xml:space="preserve">Governance Workflow Catalog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orgtree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14.3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MOD_F</w:t>
            </w:r>
          </w:p>
        </w:tc>
        <w:tc>
          <w:tcPr/>
          <w:p>
            <w:pPr>
              <w:pStyle w:val="Compact"/>
            </w:pPr>
            <w:r>
              <w:t xml:space="preserve">Migration Runbook (OU → Entra)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orgtree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context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MOD_H</w:t>
            </w:r>
          </w:p>
        </w:tc>
        <w:tc>
          <w:tcPr/>
          <w:p>
            <w:pPr>
              <w:pStyle w:val="Compact"/>
            </w:pPr>
            <w:r>
              <w:t xml:space="preserve">OrgPath JSON Schema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orgtree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14.1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MOD_M</w:t>
            </w:r>
          </w:p>
        </w:tc>
        <w:tc>
          <w:tcPr/>
          <w:p>
            <w:pPr>
              <w:pStyle w:val="Compact"/>
            </w:pPr>
            <w:r>
              <w:t xml:space="preserve">Drift Detection Engine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orgtree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14.4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MOD_Q</w:t>
            </w:r>
          </w:p>
        </w:tc>
        <w:tc>
          <w:tcPr/>
          <w:p>
            <w:pPr>
              <w:pStyle w:val="Compact"/>
            </w:pPr>
            <w:r>
              <w:t xml:space="preserve">SLA Escalation Playbooks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orgtree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14.2, 14.4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MOD_U</w:t>
            </w:r>
          </w:p>
        </w:tc>
        <w:tc>
          <w:tcPr/>
          <w:p>
            <w:pPr>
              <w:pStyle w:val="Compact"/>
            </w:pPr>
            <w:r>
              <w:t xml:space="preserve">Multi-Cloud Boundary Model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orgtree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14.5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MOD_X</w:t>
            </w:r>
          </w:p>
        </w:tc>
        <w:tc>
          <w:tcPr/>
          <w:p>
            <w:pPr>
              <w:pStyle w:val="Compact"/>
            </w:pPr>
            <w:r>
              <w:t xml:space="preserve">Governance Telemetry Model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link"/>
                </w:rPr>
                <w:t xml:space="preserve">orgtree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14.4</w:t>
            </w:r>
          </w:p>
        </w:tc>
      </w:tr>
    </w:tbl>
    <w:bookmarkEnd w:id="28"/>
    <w:bookmarkStart w:id="29" w:name="supersession-and-provenance"/>
    <w:p>
      <w:pPr>
        <w:pStyle w:val="Heading2"/>
      </w:pPr>
      <w:r>
        <w:t xml:space="preserve">Supersession and provenance</w:t>
      </w:r>
    </w:p>
    <w:p>
      <w:pPr>
        <w:pStyle w:val="FirstParagraph"/>
      </w:pPr>
      <w:r>
        <w:t xml:space="preserve">This page supersedes the OrgTree-related fragments of the Posted v1.0 guide</w:t>
      </w:r>
      <w:r>
        <w:t xml:space="preserve"> </w:t>
      </w:r>
      <w:r>
        <w:t xml:space="preserve">(specifically the 5-line §14.6</w:t>
      </w:r>
      <w:r>
        <w:t xml:space="preserve"> </w:t>
      </w:r>
      <w:r>
        <w:t xml:space="preserve">“Apply Azure Tags for OrgPath Alignment”</w:t>
      </w:r>
      <w:r>
        <w:t xml:space="preserve">).</w:t>
      </w:r>
      <w:r>
        <w:t xml:space="preserve"> </w:t>
      </w:r>
      <w:r>
        <w:t xml:space="preserve">Phases 1–13 continue to reference the Posted runbook as the operational</w:t>
      </w:r>
      <w:r>
        <w:t xml:space="preserve"> </w:t>
      </w:r>
      <w:r>
        <w:t xml:space="preserve">source; Phase 14 is authored here and inherits from the MOD canon.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Posted source:</w:t>
      </w:r>
      <w:r>
        <w:t xml:space="preserve"> </w:t>
      </w:r>
      <w:r>
        <w:rPr>
          <w:rStyle w:val="VerbatimChar"/>
        </w:rPr>
        <w:t xml:space="preserve">UIAO_SBG_001 v1.0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UIAO Platform Server Build Guide — Windows Server 2025 with Gitea and IIS.docx</w:t>
      </w:r>
      <w:r>
        <w:t xml:space="preserve"> </w:t>
      </w:r>
      <w:r>
        <w:t xml:space="preserve">(1,864 lines).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Canon anchors:</w:t>
      </w:r>
      <w:r>
        <w:t xml:space="preserve"> </w:t>
      </w:r>
      <w:r>
        <w:rPr>
          <w:rStyle w:val="VerbatimChar"/>
        </w:rPr>
        <w:t xml:space="preserve">src/uiao/modernization/orgtree/document-registry.yaml</w:t>
      </w:r>
      <w:r>
        <w:t xml:space="preserve"> </w:t>
      </w:r>
      <w:r>
        <w:t xml:space="preserve">entries MOD_A, MOD_B, MOD_C, MOD_D, MOD_E, MOD_F, MOD_H, MOD_M, MOD_Q,</w:t>
      </w:r>
      <w:r>
        <w:t xml:space="preserve"> </w:t>
      </w:r>
      <w:r>
        <w:t xml:space="preserve">MOD_U, MOD_X.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ADR dependency:</w:t>
      </w:r>
      <w:r>
        <w:t xml:space="preserve"> </w:t>
      </w:r>
      <w:r>
        <w:t xml:space="preserve">ADR-001 (Git Infrastructure — Gitea behind IIS).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Boundary:</w:t>
      </w:r>
      <w:r>
        <w:t xml:space="preserve"> </w:t>
      </w:r>
      <w:r>
        <w:t xml:space="preserve">GCC-Moderate for M365 SaaS interactions; IaaS (Arc, Azure</w:t>
      </w:r>
      <w:r>
        <w:t xml:space="preserve"> </w:t>
      </w:r>
      <w:r>
        <w:t xml:space="preserve">tags, Log Analytics) per ADR-001’s commercial-FedRAMP exception.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25" Target="../../modernization/codebook.html" TargetMode="External" /><Relationship Type="http://schemas.openxmlformats.org/officeDocument/2006/relationships/hyperlink" Id="rId27" Target="../../modernization/delegation.html" TargetMode="External" /><Relationship Type="http://schemas.openxmlformats.org/officeDocument/2006/relationships/hyperlink" Id="rId26" Target="../../modernization/dynamic-groups.html" TargetMode="External" /><Relationship Type="http://schemas.openxmlformats.org/officeDocument/2006/relationships/hyperlink" Id="rId24" Target="../../modernization/orgtre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../../modernization/codebook.html" TargetMode="External" /><Relationship Type="http://schemas.openxmlformats.org/officeDocument/2006/relationships/hyperlink" Id="rId27" Target="../../modernization/delegation.html" TargetMode="External" /><Relationship Type="http://schemas.openxmlformats.org/officeDocument/2006/relationships/hyperlink" Id="rId26" Target="../../modernization/dynamic-groups.html" TargetMode="External" /><Relationship Type="http://schemas.openxmlformats.org/officeDocument/2006/relationships/hyperlink" Id="rId24" Target="../../modernization/orgtre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Platform Server Build Guide — Windows Server 2025 with Gitea, IIS, Intune, Azure Arc, and OrgTree</dc:title>
  <dc:creator/>
  <cp:keywords/>
  <dcterms:created xsi:type="dcterms:W3CDTF">2026-05-06T19:45:37Z</dcterms:created>
  <dcterms:modified xsi:type="dcterms:W3CDTF">2026-05-06T19:45:37Z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Platform engineers · sysadmins</vt:lpwstr>
  </property>
  <property fmtid="{D5CDD505-2E9C-101B-9397-08002B2CF9AE}" pid="4" name="biblio-config">
    <vt:lpwstr>True</vt:lpwstr>
  </property>
  <property fmtid="{D5CDD505-2E9C-101B-9397-08002B2CF9AE}" pid="5" name="boundary">
    <vt:lpwstr>gcc-moderate (M365 SaaS); IaaS per ADR-001</vt:lpwstr>
  </property>
  <property fmtid="{D5CDD505-2E9C-101B-9397-08002B2CF9AE}" pid="6" name="canon-source">
    <vt:lpwstr>inbox/Posted/UIAO Platform Server Build Guide — Windows Server 2025 with Gitea and IIS.docx</vt:lpwstr>
  </property>
  <property fmtid="{D5CDD505-2E9C-101B-9397-08002B2CF9AE}" pid="7" name="derived-from">
    <vt:lpwstr>UIAO_SBG_001 v1.0 (Posted) + OrgTree canon (MOD_A..MOD_Z)</vt:lpwstr>
  </property>
  <property fmtid="{D5CDD505-2E9C-101B-9397-08002B2CF9AE}" pid="8" name="doc-id">
    <vt:lpwstr>UIAO_SBG_001</vt:lpwstr>
  </property>
  <property fmtid="{D5CDD505-2E9C-101B-9397-08002B2CF9AE}" pid="9" name="doc-type">
    <vt:lpwstr>runbook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status">
    <vt:lpwstr>DRAFT</vt:lpwstr>
  </property>
  <property fmtid="{D5CDD505-2E9C-101B-9397-08002B2CF9AE}" pid="16" name="subtitle">
    <vt:lpwstr>Canonical 14-phase runbook for the UIAO on-premises governance substrate</vt:lpwstr>
  </property>
  <property fmtid="{D5CDD505-2E9C-101B-9397-08002B2CF9AE}" pid="17" name="toc-title">
    <vt:lpwstr>Table of contents</vt:lpwstr>
  </property>
  <property fmtid="{D5CDD505-2E9C-101B-9397-08002B2CF9AE}" pid="18" name="version">
    <vt:lpwstr>1.1</vt:lpwstr>
  </property>
</Properties>
</file>