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Substrate</w:t>
      </w:r>
    </w:p>
    <w:p>
      <w:pPr>
        <w:pStyle w:val="Subtitle"/>
      </w:pPr>
      <w:r>
        <w:t xml:space="preserve">The shared spine — tooling, core architecture, and execution patterns that serve both pillars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4" w:name="substrate"/>
    <w:p>
      <w:pPr>
        <w:pStyle w:val="Heading1"/>
      </w:pPr>
      <w:r>
        <w:t xml:space="preserve">Substrate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shared spine both pillars ride on.</w:t>
      </w:r>
      <w:r>
        <w:t xml:space="preserve"> </w:t>
      </w:r>
      <w:r>
        <w:t xml:space="preserve">These components aren’t</w:t>
      </w:r>
      <w:r>
        <w:t xml:space="preserve"> </w:t>
      </w:r>
      <w:r>
        <w:t xml:space="preserve">modernization</w:t>
      </w:r>
      <w:r>
        <w:t xml:space="preserve"> </w:t>
      </w:r>
      <w:r>
        <w:rPr>
          <w:i/>
          <w:iCs/>
        </w:rPr>
        <w:t xml:space="preserve">or</w:t>
      </w:r>
      <w:r>
        <w:t xml:space="preserve"> </w:t>
      </w:r>
      <w:r>
        <w:t xml:space="preserve">compliance — they’re the machinery that lets both exist:</w:t>
      </w:r>
      <w:r>
        <w:t xml:space="preserve"> </w:t>
      </w:r>
      <w:r>
        <w:t xml:space="preserve">the monorepo, the render pipeline, the architecture abstractions, and the</w:t>
      </w:r>
      <w:r>
        <w:t xml:space="preserve"> </w:t>
      </w:r>
      <w:r>
        <w:t xml:space="preserve">execution patterns that distinguish governance from execution.</w:t>
      </w:r>
    </w:p>
    <w:p>
      <w:pPr>
        <w:pStyle w:val="BodyText"/>
      </w:pPr>
      <w:r>
        <w:t xml:space="preserve">Splitting these across pillars would duplicate canon. They live here so</w:t>
      </w:r>
      <w:r>
        <w:t xml:space="preserve"> </w:t>
      </w:r>
      <w:r>
        <w:t xml:space="preserve">modernization pages and compliance pages cross-reference them instead of</w:t>
      </w:r>
      <w:r>
        <w:t xml:space="preserve"> </w:t>
      </w:r>
      <w:r>
        <w:t xml:space="preserve">redefining them.</w:t>
      </w:r>
    </w:p>
    <w:bookmarkStart w:id="12" w:name="sub-categories"/>
    <w:p>
      <w:pPr>
        <w:pStyle w:val="Heading2"/>
      </w:pPr>
      <w:r>
        <w:t xml:space="preserve">Sub-categories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Leaf count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Platform &amp; tooling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GitHub/Gitea monorepo · Quarto pipeline · canon sync · CI/CD · Customer Documents portal · CLI · Academy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Core architecture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Six-Plane Architecture · Three-Layer Rule Model · Drift Engine · Evidence Chain · Boundary Impact Model · Two-Way Governance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Execution patterns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Two-Brain Execution (Copilot + Execution Substrate) · AODIM ·</w:t>
            </w:r>
            <w:r>
              <w:t xml:space="preserve"> </w:t>
            </w:r>
            <w:r>
              <w:t xml:space="preserve">“Instruments vs. Orchestra”</w:t>
            </w:r>
            <w:r>
              <w:t xml:space="preserve"> </w:t>
            </w:r>
            <w:r>
              <w:t xml:space="preserve">positioning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</w:tr>
    </w:tbl>
    <w:bookmarkEnd w:id="12"/>
    <w:bookmarkStart w:id="13" w:name="canonical-invariants"/>
    <w:p>
      <w:pPr>
        <w:pStyle w:val="Heading2"/>
      </w:pPr>
      <w:r>
        <w:t xml:space="preserve">Canonical invariants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Tenant agnosticism:</w:t>
      </w:r>
      <w:r>
        <w:t xml:space="preserve"> </w:t>
      </w:r>
      <w:r>
        <w:t xml:space="preserve">substrate artifacts carry no tenant-specific</w:t>
      </w:r>
      <w:r>
        <w:t xml:space="preserve"> </w:t>
      </w:r>
      <w:r>
        <w:t xml:space="preserve">identifiers. Values are injected at deployment time.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Single source:</w:t>
      </w:r>
      <w:r>
        <w:t xml:space="preserve"> </w:t>
      </w:r>
      <w:r>
        <w:t xml:space="preserve">there is one monorepo, one canon registry, one render</w:t>
      </w:r>
      <w:r>
        <w:t xml:space="preserve"> </w:t>
      </w:r>
      <w:r>
        <w:t xml:space="preserve">pipeline. Mirrors and derived copies are non-canonical.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Governance ≠ execution:</w:t>
      </w:r>
      <w:r>
        <w:t xml:space="preserve"> </w:t>
      </w:r>
      <w:r>
        <w:t xml:space="preserve">Copilot reviews and authorizes; the Execution</w:t>
      </w:r>
      <w:r>
        <w:t xml:space="preserve"> </w:t>
      </w:r>
      <w:r>
        <w:t xml:space="preserve">Substrate executes. The two never co-mingle.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core-architecture/index.html" TargetMode="External" /><Relationship Type="http://schemas.openxmlformats.org/officeDocument/2006/relationships/hyperlink" Id="rId11" Target="execution-patterns/index.html" TargetMode="External" /><Relationship Type="http://schemas.openxmlformats.org/officeDocument/2006/relationships/hyperlink" Id="rId9" Target="platform-tooling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core-architecture/index.html" TargetMode="External" /><Relationship Type="http://schemas.openxmlformats.org/officeDocument/2006/relationships/hyperlink" Id="rId11" Target="execution-patterns/index.html" TargetMode="External" /><Relationship Type="http://schemas.openxmlformats.org/officeDocument/2006/relationships/hyperlink" Id="rId9" Target="platform-tooling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Substrate</dc:title>
  <dc:creator/>
  <cp:keywords/>
  <dcterms:created xsi:type="dcterms:W3CDTF">2026-05-06T19:45:43Z</dcterms:created>
  <dcterms:modified xsi:type="dcterms:W3CDTF">2026-05-06T19:45:43Z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Architects · platform engineers · canon stewards</vt:lpwstr>
  </property>
  <property fmtid="{D5CDD505-2E9C-101B-9397-08002B2CF9AE}" pid="4" name="biblio-config">
    <vt:lpwstr>True</vt:lpwstr>
  </property>
  <property fmtid="{D5CDD505-2E9C-101B-9397-08002B2CF9AE}" pid="5" name="canon-source">
    <vt:lpwstr>docs/planning/customer-documents-taxonomy.md §2.3</vt:lpwstr>
  </property>
  <property fmtid="{D5CDD505-2E9C-101B-9397-08002B2CF9AE}" pid="6" name="date">
    <vt:lpwstr>2026-04-24</vt:lpwstr>
  </property>
  <property fmtid="{D5CDD505-2E9C-101B-9397-08002B2CF9AE}" pid="7" name="doc-type">
    <vt:lpwstr>pillar-landing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pillar">
    <vt:lpwstr>substrate</vt:lpwstr>
  </property>
  <property fmtid="{D5CDD505-2E9C-101B-9397-08002B2CF9AE}" pid="14" name="subtitle">
    <vt:lpwstr>The shared spine — tooling, core architecture, and execution patterns that serve both pillars</vt:lpwstr>
  </property>
  <property fmtid="{D5CDD505-2E9C-101B-9397-08002B2CF9AE}" pid="15" name="toc-title">
    <vt:lpwstr>Table of contents</vt:lpwstr>
  </property>
</Properties>
</file>