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UIAO-Core CLI Reference</w:t>
      </w:r>
    </w:p>
    <w:p>
      <w:pPr>
        <w:pStyle w:val="Subtitle"/>
      </w:pPr>
      <w:r>
        <w:t xml:space="preserve">OSCAL compliance toolkit command-line reference</w:t>
      </w:r>
    </w:p>
    <w:p>
      <w:pPr>
        <w:pStyle w:val="Author"/>
      </w:pPr>
      <w:r>
        <w:t xml:space="preserve">Michael Stratton</w:t>
      </w:r>
    </w:p>
    <w:p>
      <w:pPr>
        <w:pStyle w:val="Date"/>
      </w:pPr>
      <w:r>
        <w:t xml:space="preserve">2026-04-01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FirstParagraph"/>
      </w:pPr>
      <w:r>
        <w:t xml:space="preserve">UIAO-Core CLI Reference</w:t>
      </w:r>
    </w:p>
    <w:p>
      <w:pPr>
        <w:pStyle w:val="BodyText"/>
      </w:pPr>
      <w:r>
        <w:rPr>
          <w:b/>
          <w:bCs/>
        </w:rPr>
        <w:t xml:space="preserve">Version:</w:t>
      </w:r>
      <w:r>
        <w:t xml:space="preserve"> </w:t>
      </w:r>
      <w:r>
        <w:t xml:space="preserve">Current (April 2026)</w:t>
      </w:r>
    </w:p>
    <w:p>
      <w:pPr>
        <w:pStyle w:val="BodyText"/>
      </w:pPr>
      <w:r>
        <w:rPr>
          <w:b/>
          <w:bCs/>
        </w:rPr>
        <w:t xml:space="preserve">Environment:</w:t>
      </w:r>
      <w:r>
        <w:t xml:space="preserve"> </w:t>
      </w:r>
      <w:r>
        <w:t xml:space="preserve">Commercial Cloud (FedRAMP-governed); GCC-Moderate applies to Microsoft 365 SaaS services only.</w:t>
      </w:r>
    </w:p>
    <w:p>
      <w:pPr>
        <w:pStyle w:val="BodyText"/>
      </w:pPr>
      <w:r>
        <w:rPr>
          <w:b/>
          <w:bCs/>
        </w:rPr>
        <w:t xml:space="preserve">Toolkit:</w:t>
      </w:r>
      <w:r>
        <w:t xml:space="preserve"> </w:t>
      </w:r>
      <w:r>
        <w:t xml:space="preserve">OSCAL compliance toolkit for US Government systems.</w:t>
      </w:r>
    </w:p>
    <w:p>
      <w:pPr>
        <w:pStyle w:val="BodyText"/>
      </w:pPr>
      <w:r>
        <w:t xml:space="preserve">1. Overview</w:t>
      </w:r>
    </w:p>
    <w:p>
      <w:pPr>
        <w:pStyle w:val="BodyText"/>
      </w:pPr>
      <w:r>
        <w:t xml:space="preserve">UIAO-Core is the canonical command-line toolkit for the Unified Integration Architecture &amp; Operations (UIAO) framework. It automates the full lifecycle of compliance artifact generation, continuous monitoring, governance reporting, and auditor evidence packaging — from canon YAML source-of-truth through OSCAL-compliant outputs.</w:t>
      </w:r>
    </w:p>
    <w:p>
      <w:pPr>
        <w:pStyle w:val="BodyText"/>
      </w:pPr>
      <w:r>
        <w:t xml:space="preserve">The CLI is organized around a deterministic pipeline architecture: Canon YAML → OSCAL generation → visual rendering → artifact packaging → continuous monitoring → IR (Intermediate Representation) governance pipeline. Every command is designed to be idempotent, auditable, and traceable to its canon source.</w:t>
      </w:r>
    </w:p>
    <w:tbl>
      <w:tblPr>
        <w:tblStyle w:val="Table"/>
        <w:tblW w:type="pct" w:w="5025"/>
        <w:tblLayout w:type="fixed"/>
        <w:tblLook w:firstRow="0" w:lastRow="0" w:firstColumn="0" w:lastColumn="0" w:noHBand="0" w:noVBand="0" w:val="0000"/>
      </w:tblPr>
      <w:tblGrid>
        <w:gridCol w:w="7958"/>
      </w:tblGrid>
      <w:tr>
        <w:tc>
          <w:tcPr/>
          <w:p>
            <w:pPr>
              <w:pStyle w:val="FirstParagraph"/>
            </w:pPr>
            <w:r>
              <w:rPr>
                <w:b/>
                <w:bCs/>
              </w:rPr>
              <w:t xml:space="preserve">Governance Note</w:t>
            </w:r>
          </w:p>
          <w:p>
            <w:pPr>
              <w:pStyle w:val="BodyText"/>
            </w:pPr>
            <w:r>
              <w:t xml:space="preserve">UIAO operates in Commercial Cloud as governed by FedRAMP unless specifically noted. GCC-Moderate applies to Microsoft 365 SaaS services only and does not include Azure services. We are not FedRAMP High.</w:t>
            </w:r>
          </w:p>
        </w:tc>
      </w:tr>
    </w:tbl>
    <w:p>
      <w:pPr>
        <w:pStyle w:val="BodyText"/>
      </w:pPr>
      <w:r>
        <w:t xml:space="preserve">2. Global Options</w:t>
      </w:r>
    </w:p>
    <w:p>
      <w:pPr>
        <w:pStyle w:val="BodyText"/>
      </w:pPr>
      <w:r>
        <w:t xml:space="preserve">The following options are available on every UIAO-Core command invocation.</w:t>
      </w:r>
    </w:p>
    <w:tbl>
      <w:tblPr>
        <w:tblStyle w:val="Table"/>
        <w:tblW w:type="pct" w:w="4792"/>
        <w:tblLayout w:type="fixed"/>
        <w:tblLook w:firstRow="1" w:lastRow="0" w:firstColumn="0" w:lastColumn="0" w:noHBand="0" w:noVBand="0" w:val="0020"/>
      </w:tblPr>
      <w:tblGrid>
        <w:gridCol w:w="1430"/>
        <w:gridCol w:w="1320"/>
        <w:gridCol w:w="484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Option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Short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Description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--version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-V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Show the UIAO-Core version and exit.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--help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Show the top-level help message and exit.</w:t>
            </w:r>
          </w:p>
        </w:tc>
      </w:tr>
    </w:tbl>
    <w:p>
      <w:pPr>
        <w:pStyle w:val="BodyText"/>
      </w:pPr>
      <w:r>
        <w:t xml:space="preserve">3. Command Reference by Pipeline Stage</w:t>
      </w:r>
    </w:p>
    <w:p>
      <w:pPr>
        <w:pStyle w:val="BodyText"/>
      </w:pPr>
      <w:r>
        <w:t xml:space="preserve">3.1 Core OSCAL Generation &amp; Validation</w:t>
      </w:r>
    </w:p>
    <w:p>
      <w:pPr>
        <w:pStyle w:val="BodyText"/>
      </w:pPr>
      <w:r>
        <w:t xml:space="preserve">These commands form the foundation of the UIAO compliance pipeline. They produce and validate OSCAL (Open Security Controls Assessment Language) artifacts from the canonical YAML source-of-truth. Every downstream artifact — SSPs, POA&amp;Ms, dashboards, briefings — traces its provenance back to the outputs of this stage.</w:t>
      </w:r>
    </w:p>
    <w:tbl>
      <w:tblPr>
        <w:tblStyle w:val="Table"/>
        <w:tblW w:type="pct" w:w="4934"/>
        <w:tblLayout w:type="fixed"/>
        <w:tblLook w:firstRow="1" w:lastRow="0" w:firstColumn="0" w:lastColumn="0" w:noHBand="0" w:noVBand="0" w:val="0020"/>
      </w:tblPr>
      <w:tblGrid>
        <w:gridCol w:w="996"/>
        <w:gridCol w:w="3566"/>
        <w:gridCol w:w="3251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Command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Description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Pipeline Role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generate-ssp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Generate an OSCAL SSP from canon YAML and data files.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Primary SSP generation; authoritative compliance narrative.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validate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Validate an OSCAL document against its schema.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Schema-level structural validation gate.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canon-check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Check canon YAML files for consistency.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First-line defense against configuration drift.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validate-ssp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Validate OSCAL artifacts with compliance-trestle Pydantic models.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Semantic validation beyond schema compliance.</w:t>
            </w:r>
          </w:p>
        </w:tc>
      </w:tr>
    </w:tbl>
    <w:p>
      <w:pPr>
        <w:pStyle w:val="BodyText"/>
      </w:pPr>
      <w:r>
        <w:t xml:space="preserve">Details</w:t>
      </w:r>
    </w:p>
    <w:p>
      <w:pPr>
        <w:pStyle w:val="BodyText"/>
      </w:pPr>
      <w:r>
        <w:rPr>
          <w:b/>
          <w:bCs/>
        </w:rPr>
        <w:t xml:space="preserve">generate-ssp</w:t>
      </w:r>
      <w:r>
        <w:t xml:space="preserve"> </w:t>
      </w:r>
      <w:r>
        <w:t xml:space="preserve">— This is the primary SSP generation command. It reads the canonical YAML configuration and data files to produce a fully-formed OSCAL System Security Plan. The SSP is the authoritative compliance narrative for the system boundary, control implementations, and responsible parties.</w:t>
      </w:r>
    </w:p>
    <w:p>
      <w:pPr>
        <w:pStyle w:val="BodyText"/>
      </w:pPr>
      <w:r>
        <w:rPr>
          <w:b/>
          <w:bCs/>
        </w:rPr>
        <w:t xml:space="preserve">validate</w:t>
      </w:r>
      <w:r>
        <w:t xml:space="preserve"> </w:t>
      </w:r>
      <w:r>
        <w:t xml:space="preserve">— Performs schema-level validation of any OSCAL document (SSP, SAR, SAP, POA&amp;M, component-definition) against the NIST OSCAL schema. Use this to catch structural errors before submission or downstream processing.</w:t>
      </w:r>
    </w:p>
    <w:p>
      <w:pPr>
        <w:pStyle w:val="BodyText"/>
      </w:pPr>
      <w:r>
        <w:rPr>
          <w:b/>
          <w:bCs/>
        </w:rPr>
        <w:t xml:space="preserve">canon-check</w:t>
      </w:r>
      <w:r>
        <w:t xml:space="preserve"> </w:t>
      </w:r>
      <w:r>
        <w:t xml:space="preserve">— Ensures that all canon YAML files are internally consistent — cross-references resolve, required fields are present, enumerations are valid, and no drift has occurred between canon sources. This is the first-line defense against configuration drift.</w:t>
      </w:r>
    </w:p>
    <w:p>
      <w:pPr>
        <w:pStyle w:val="BodyText"/>
      </w:pPr>
      <w:r>
        <w:rPr>
          <w:b/>
          <w:bCs/>
        </w:rPr>
        <w:t xml:space="preserve">validate-ssp</w:t>
      </w:r>
      <w:r>
        <w:t xml:space="preserve"> </w:t>
      </w:r>
      <w:r>
        <w:t xml:space="preserve">— Goes beyond schema validation by loading OSCAL artifacts through NIST compliance-trestle's Pydantic V1 models. This catches semantic errors that pass schema validation — invalid control references, orphaned parameters, broken cross-links. Currently emits a compatibility warning on Python 3.14+ due to Pydantic V1 deprecation; this warning is expected and non-blocking.</w:t>
      </w:r>
    </w:p>
    <w:p>
      <w:pPr>
        <w:pStyle w:val="BodyText"/>
      </w:pPr>
      <w:r>
        <w:t xml:space="preserve">3.2 Visual &amp; Artifact Generation</w:t>
      </w:r>
    </w:p>
    <w:p>
      <w:pPr>
        <w:pStyle w:val="BodyText"/>
      </w:pPr>
      <w:r>
        <w:t xml:space="preserve">UIAO produces leadership-grade deliverables — DOCX briefings, PPTX decks, embedded diagrams, and AI-generated visuals. These commands render canon data into presentation-ready formats. All visuals use PlantUML for deterministic, version-controlled diagram generation. Gemini API integration provides AI-generated imagery for executive-facing materials.</w:t>
      </w:r>
    </w:p>
    <w:tbl>
      <w:tblPr>
        <w:tblStyle w:val="Table"/>
        <w:tblW w:type="pct" w:w="4942"/>
        <w:tblLayout w:type="fixed"/>
        <w:tblLook w:firstRow="1" w:lastRow="0" w:firstColumn="0" w:lastColumn="0" w:noHBand="0" w:noVBand="0" w:val="0020"/>
      </w:tblPr>
      <w:tblGrid>
        <w:gridCol w:w="1144"/>
        <w:gridCol w:w="3570"/>
        <w:gridCol w:w="3113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Command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Description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Pipeline Role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generate-visuals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Render PlantUML diagrams to PNG for DOCX/PPTX embedding.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Diagram rendering stage; produces publication-quality PNGs.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generate-gemini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Generate images via Gemini API (requires GEMINI_API_KEY).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AI-generated visuals for executive-facing materials.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generate-pptx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Generate a leadership briefing PPTX deck.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Executive communication; governance and risk posture.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generate-docx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Generate a rich DOCX leadership briefing with embedded visuals.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Word-format leadership briefing with embedded diagrams.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generate-diagrams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Generate PlantUML .puml files and render them to PNG from canon YAML.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Deterministic, version-controlled diagram generation.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generate-docs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Render Jinja2 templates into Markdown docs using canon YAML and data files.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Parameterized documentation from templates.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generate-artifacts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Generate DOCX + PPTX with embedded PlantUML and Gemini visuals.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Full visual artifact pipeline in a single invocation.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generate-briefing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Generate personal briefing document from live repo state.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Daily operational awareness; live pipeline and governance status.</w:t>
            </w:r>
          </w:p>
        </w:tc>
      </w:tr>
    </w:tbl>
    <w:p>
      <w:pPr>
        <w:pStyle w:val="BodyText"/>
      </w:pPr>
      <w:r>
        <w:t xml:space="preserve">Details</w:t>
      </w:r>
    </w:p>
    <w:p>
      <w:pPr>
        <w:pStyle w:val="BodyText"/>
      </w:pPr>
      <w:r>
        <w:rPr>
          <w:b/>
          <w:bCs/>
        </w:rPr>
        <w:t xml:space="preserve">generate-visuals</w:t>
      </w:r>
      <w:r>
        <w:t xml:space="preserve"> </w:t>
      </w:r>
      <w:r>
        <w:t xml:space="preserve">— Reads .puml source files and renders them to PNG at publication-quality resolution. Output PNGs are sized and titled for direct embedding into Word and PowerPoint artifacts. All images include titles and dimensions per UIAO standards.</w:t>
      </w:r>
    </w:p>
    <w:p>
      <w:pPr>
        <w:pStyle w:val="BodyText"/>
      </w:pPr>
      <w:r>
        <w:rPr>
          <w:b/>
          <w:bCs/>
        </w:rPr>
        <w:t xml:space="preserve">generate-gemini</w:t>
      </w:r>
      <w:r>
        <w:t xml:space="preserve"> </w:t>
      </w:r>
      <w:r>
        <w:t xml:space="preserve">— Produces AI-generated visuals using Google's Gemini API. Used for executive-facing imagery, conceptual illustrations, and briefing cover art. Requires the GEMINI_API_KEY environment variable.</w:t>
      </w:r>
    </w:p>
    <w:p>
      <w:pPr>
        <w:pStyle w:val="BodyText"/>
      </w:pPr>
      <w:r>
        <w:rPr>
          <w:b/>
          <w:bCs/>
        </w:rPr>
        <w:t xml:space="preserve">generate-pptx</w:t>
      </w:r>
      <w:r>
        <w:t xml:space="preserve"> </w:t>
      </w:r>
      <w:r>
        <w:t xml:space="preserve">— Produces a PowerPoint leadership briefing from canon YAML and rendered visuals. The deck follows canonical UIAO formatting and is designed for executive communication — governance status, risk posture, compliance narrative.</w:t>
      </w:r>
    </w:p>
    <w:p>
      <w:pPr>
        <w:pStyle w:val="BodyText"/>
      </w:pPr>
      <w:r>
        <w:rPr>
          <w:b/>
          <w:bCs/>
        </w:rPr>
        <w:t xml:space="preserve">generate-docx</w:t>
      </w:r>
      <w:r>
        <w:t xml:space="preserve"> </w:t>
      </w:r>
      <w:r>
        <w:t xml:space="preserve">— Produces a Word document leadership briefing with embedded PlantUML diagrams and Gemini visuals. Follows canonical formatting: muted-blue headers, black body text, titled and dimensioned images.</w:t>
      </w:r>
    </w:p>
    <w:p>
      <w:pPr>
        <w:pStyle w:val="BodyText"/>
      </w:pPr>
      <w:r>
        <w:rPr>
          <w:b/>
          <w:bCs/>
        </w:rPr>
        <w:t xml:space="preserve">generate-diagrams</w:t>
      </w:r>
      <w:r>
        <w:t xml:space="preserve"> </w:t>
      </w:r>
      <w:r>
        <w:t xml:space="preserve">— A two-stage command: first generates .puml source files from canon YAML data (system boundaries, data flows, network diagrams), then renders them to PNG. This is the canonical path for deterministic, version-controlled diagram generation.</w:t>
      </w:r>
    </w:p>
    <w:p>
      <w:pPr>
        <w:pStyle w:val="BodyText"/>
      </w:pPr>
      <w:r>
        <w:rPr>
          <w:b/>
          <w:bCs/>
        </w:rPr>
        <w:t xml:space="preserve">generate-docs</w:t>
      </w:r>
      <w:r>
        <w:t xml:space="preserve"> </w:t>
      </w:r>
      <w:r>
        <w:t xml:space="preserve">— Uses Jinja2 templating to produce Markdown documentation from canon YAML. Supports parameterized templates for recurring document types — control narratives, boundary descriptions, operational procedures.</w:t>
      </w:r>
    </w:p>
    <w:p>
      <w:pPr>
        <w:pStyle w:val="BodyText"/>
      </w:pPr>
      <w:r>
        <w:rPr>
          <w:b/>
          <w:bCs/>
        </w:rPr>
        <w:t xml:space="preserve">generate-artifacts</w:t>
      </w:r>
      <w:r>
        <w:t xml:space="preserve"> </w:t>
      </w:r>
      <w:r>
        <w:t xml:space="preserve">— A convenience command that runs the full visual artifact pipeline: PlantUML rendering → Gemini image generation → DOCX + PPTX assembly. Produces both deliverables in a single invocation with consistent embedded visuals.</w:t>
      </w:r>
    </w:p>
    <w:p>
      <w:pPr>
        <w:pStyle w:val="BodyText"/>
      </w:pPr>
      <w:r>
        <w:rPr>
          <w:b/>
          <w:bCs/>
        </w:rPr>
        <w:t xml:space="preserve">generate-briefing</w:t>
      </w:r>
      <w:r>
        <w:t xml:space="preserve"> </w:t>
      </w:r>
      <w:r>
        <w:t xml:space="preserve">— Produces a personalized briefing document by reading the live state of the UIAO repository — open issues, PR status, governance actions, drift alerts, and pipeline health. Designed for daily operational awareness.</w:t>
      </w:r>
    </w:p>
    <w:p>
      <w:pPr>
        <w:pStyle w:val="BodyText"/>
      </w:pPr>
      <w:r>
        <w:t xml:space="preserve">3.3 Supply Chain Security</w:t>
      </w:r>
    </w:p>
    <w:p>
      <w:pPr>
        <w:pStyle w:val="BodyText"/>
      </w:pPr>
      <w:r>
        <w:t xml:space="preserve">Software supply chain transparency is a FedRAMP and NIST requirement. UIAO generates machine-readable Software Bills of Materials (SBOMs) to document every dependency in the compliance toolkit itself and in assessed systems.</w:t>
      </w:r>
    </w:p>
    <w:tbl>
      <w:tblPr>
        <w:tblStyle w:val="Table"/>
        <w:tblW w:type="pct" w:w="4925"/>
        <w:tblLayout w:type="fixed"/>
        <w:tblLook w:firstRow="1" w:lastRow="0" w:firstColumn="0" w:lastColumn="0" w:noHBand="0" w:noVBand="0" w:val="0020"/>
      </w:tblPr>
      <w:tblGrid>
        <w:gridCol w:w="1182"/>
        <w:gridCol w:w="3664"/>
        <w:gridCol w:w="2955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Command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Description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Pipeline Role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generate-sbom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Generate a CycloneDX 1.4 Software Bill of Materials (SBOM).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Supply chain transparency; EO 14028 compliance.</w:t>
            </w:r>
          </w:p>
        </w:tc>
      </w:tr>
    </w:tbl>
    <w:p>
      <w:pPr>
        <w:pStyle w:val="BodyText"/>
      </w:pPr>
      <w:r>
        <w:t xml:space="preserve">Details</w:t>
      </w:r>
    </w:p>
    <w:p>
      <w:pPr>
        <w:pStyle w:val="BodyText"/>
      </w:pPr>
      <w:r>
        <w:rPr>
          <w:b/>
          <w:bCs/>
        </w:rPr>
        <w:t xml:space="preserve">generate-sbom</w:t>
      </w:r>
      <w:r>
        <w:t xml:space="preserve"> </w:t>
      </w:r>
      <w:r>
        <w:t xml:space="preserve">— Produces a CycloneDX 1.4-compliant SBOM enumerating all software components, dependencies, and versions. Supports supply chain risk assessment, vulnerability tracking, and Executive Order 14028 compliance.</w:t>
      </w:r>
    </w:p>
    <w:p>
      <w:pPr>
        <w:pStyle w:val="BodyText"/>
      </w:pPr>
      <w:r>
        <w:t xml:space="preserve">3.4 Continuous Monitoring (ConMon)</w:t>
      </w:r>
    </w:p>
    <w:p>
      <w:pPr>
        <w:pStyle w:val="BodyText"/>
      </w:pPr>
      <w:r>
        <w:t xml:space="preserve">Continuous monitoring is the operational heartbeat of FedRAMP compliance. These commands process live security telemetry (Sentinel alerts), manage Plans of Action &amp; Milestones (POA&amp;Ms), export ongoing authorization evidence, and produce KSI (Key Security Indicator) dashboards. The ConMon pipeline transforms raw security events into governance-grade artifacts.</w:t>
      </w:r>
    </w:p>
    <w:tbl>
      <w:tblPr>
        <w:tblStyle w:val="Table"/>
        <w:tblW w:type="pct" w:w="4928"/>
        <w:tblLayout w:type="fixed"/>
        <w:tblLook w:firstRow="1" w:lastRow="0" w:firstColumn="0" w:lastColumn="0" w:noHBand="0" w:noVBand="0" w:val="0020"/>
      </w:tblPr>
      <w:tblGrid>
        <w:gridCol w:w="1310"/>
        <w:gridCol w:w="3361"/>
        <w:gridCol w:w="3133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Command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Description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Pipeline Role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conmon-process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Process a Sentinel alert and auto-upsert a POA&amp;M entry.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Primary ConMon event processing automation.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conmon-export-oa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Export an OSCAL ongoing-authorization evidence artifact.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ATO maintenance; evidence for authorizing officials.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conmon-dashboard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Export the KSI continuous monitoring dashboard.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Governance-grade security posture summary.</w:t>
            </w:r>
          </w:p>
        </w:tc>
      </w:tr>
    </w:tbl>
    <w:p>
      <w:pPr>
        <w:pStyle w:val="BodyText"/>
      </w:pPr>
      <w:r>
        <w:t xml:space="preserve">Details</w:t>
      </w:r>
    </w:p>
    <w:p>
      <w:pPr>
        <w:pStyle w:val="BodyText"/>
      </w:pPr>
      <w:r>
        <w:rPr>
          <w:b/>
          <w:bCs/>
        </w:rPr>
        <w:t xml:space="preserve">conmon-process</w:t>
      </w:r>
      <w:r>
        <w:t xml:space="preserve"> </w:t>
      </w:r>
      <w:r>
        <w:t xml:space="preserve">— Ingests a Microsoft Sentinel security alert, classifies it against the UIAO control framework, and automatically creates or updates the corresponding POA&amp;M entry. This is the primary automation for continuous monitoring event processing.</w:t>
      </w:r>
    </w:p>
    <w:p>
      <w:pPr>
        <w:pStyle w:val="BodyText"/>
      </w:pPr>
      <w:r>
        <w:rPr>
          <w:b/>
          <w:bCs/>
        </w:rPr>
        <w:t xml:space="preserve">conmon-export-oa</w:t>
      </w:r>
      <w:r>
        <w:t xml:space="preserve"> </w:t>
      </w:r>
      <w:r>
        <w:t xml:space="preserve">— Produces an OSCAL-compliant ongoing authorization evidence package. This artifact demonstrates continuous compliance posture for ATO maintenance and ConMon reporting to authorizing officials.</w:t>
      </w:r>
    </w:p>
    <w:p>
      <w:pPr>
        <w:pStyle w:val="BodyText"/>
      </w:pPr>
      <w:r>
        <w:rPr>
          <w:b/>
          <w:bCs/>
        </w:rPr>
        <w:t xml:space="preserve">conmon-dashboard</w:t>
      </w:r>
      <w:r>
        <w:t xml:space="preserve"> </w:t>
      </w:r>
      <w:r>
        <w:t xml:space="preserve">— Generates the Key Security Indicator (KSI) dashboard — a governance-grade summary of security posture, control effectiveness, and operational health. Includes SLA status, drift indicators, and trend data.</w:t>
      </w:r>
    </w:p>
    <w:p>
      <w:pPr>
        <w:pStyle w:val="BodyText"/>
      </w:pPr>
      <w:r>
        <w:t xml:space="preserve">3.5 Full Pipeline</w:t>
      </w:r>
    </w:p>
    <w:p>
      <w:pPr>
        <w:pStyle w:val="BodyText"/>
      </w:pPr>
      <w:r>
        <w:t xml:space="preserve">For end-to-end generation from canon YAML through all output artifacts in a single deterministic pass.</w:t>
      </w:r>
    </w:p>
    <w:tbl>
      <w:tblPr>
        <w:tblStyle w:val="Table"/>
        <w:tblW w:type="pct" w:w="4934"/>
        <w:tblLayout w:type="fixed"/>
        <w:tblLook w:firstRow="1" w:lastRow="0" w:firstColumn="0" w:lastColumn="0" w:noHBand="0" w:noVBand="0" w:val="0020"/>
      </w:tblPr>
      <w:tblGrid>
        <w:gridCol w:w="996"/>
        <w:gridCol w:w="3986"/>
        <w:gridCol w:w="2832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Command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Description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Pipeline Role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generate-all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Run the full UIAO generation pipeline: YAML canon → all output artifacts.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Canonical "build everything" command; idempotent.</w:t>
            </w:r>
          </w:p>
        </w:tc>
      </w:tr>
    </w:tbl>
    <w:p>
      <w:pPr>
        <w:pStyle w:val="BodyText"/>
      </w:pPr>
      <w:r>
        <w:t xml:space="preserve">Details</w:t>
      </w:r>
    </w:p>
    <w:p>
      <w:pPr>
        <w:pStyle w:val="BodyText"/>
      </w:pPr>
      <w:r>
        <w:rPr>
          <w:b/>
          <w:bCs/>
        </w:rPr>
        <w:t xml:space="preserve">generate-all</w:t>
      </w:r>
      <w:r>
        <w:t xml:space="preserve"> </w:t>
      </w:r>
      <w:r>
        <w:t xml:space="preserve">— Executes every generation stage in dependency order: canon validation → SSP generation → diagram rendering → Gemini visuals → DOCX/PPTX assembly → SBOM. This is the canonical "build everything" command. Idempotent — safe to re-run at any time.</w:t>
      </w:r>
    </w:p>
    <w:p>
      <w:pPr>
        <w:pStyle w:val="BodyText"/>
      </w:pPr>
      <w:r>
        <w:t xml:space="preserve">3.6 Adapter Layer</w:t>
      </w:r>
    </w:p>
    <w:p>
      <w:pPr>
        <w:pStyle w:val="BodyText"/>
      </w:pPr>
      <w:r>
        <w:t xml:space="preserve">Adapters are the integration boundary between external vendor tools and the UIAO canonical data model. They ingest third-party assessment outputs and normalize them into UIAO's DNS-style claim format — lightweight, human-readable, and traceable — without requiring heavy OSCAL conversion at the adapter boundary. The adapter layer is where external truth enters the UIAO provenance chain.</w:t>
      </w:r>
    </w:p>
    <w:tbl>
      <w:tblPr>
        <w:tblStyle w:val="Table"/>
        <w:tblW w:type="pct" w:w="4938"/>
        <w:tblLayout w:type="fixed"/>
        <w:tblLook w:firstRow="1" w:lastRow="0" w:firstColumn="0" w:lastColumn="0" w:noHBand="0" w:noVBand="0" w:val="0020"/>
      </w:tblPr>
      <w:tblGrid>
        <w:gridCol w:w="1173"/>
        <w:gridCol w:w="3911"/>
        <w:gridCol w:w="2737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Command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Description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Pipeline Role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adapter-run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Run a vendor adapter and align claims (DNS-style, no heavy OSCAL conversion).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Generic adapter runner; normalizes vendor output.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adapter-run-scuba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Run SCuBA adapter: ingest ScubaGear report and map to UIAO KSI evidence.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Primary M365 security posture assessment integration.</w:t>
            </w:r>
          </w:p>
        </w:tc>
      </w:tr>
    </w:tbl>
    <w:p>
      <w:pPr>
        <w:pStyle w:val="BodyText"/>
      </w:pPr>
      <w:r>
        <w:t xml:space="preserve">Details</w:t>
      </w:r>
    </w:p>
    <w:p>
      <w:pPr>
        <w:pStyle w:val="BodyText"/>
      </w:pPr>
      <w:r>
        <w:rPr>
          <w:b/>
          <w:bCs/>
        </w:rPr>
        <w:t xml:space="preserve">adapter-run</w:t>
      </w:r>
      <w:r>
        <w:t xml:space="preserve"> </w:t>
      </w:r>
      <w:r>
        <w:t xml:space="preserve">— The generic adapter runner. Ingests output from a vendor assessment tool, normalizes findings into DNS-style claims (e.g., M365.EXO.DKIM.PASS), and aligns them against UIAO's canonical control mapping. Adapter output feeds downstream IR and governance pipelines.</w:t>
      </w:r>
    </w:p>
    <w:p>
      <w:pPr>
        <w:pStyle w:val="BodyText"/>
      </w:pPr>
      <w:r>
        <w:rPr>
          <w:b/>
          <w:bCs/>
        </w:rPr>
        <w:t xml:space="preserve">adapter-run-scuba</w:t>
      </w:r>
      <w:r>
        <w:t xml:space="preserve"> </w:t>
      </w:r>
      <w:r>
        <w:t xml:space="preserve">— The specialized adapter for CISA's ScubaGear (Secure Cloud Business Applications) assessment tool. Ingests a ScubaGear JSON report, maps each policy result to the corresponding UIAO KSI, and produces normalized evidence objects. This is the primary M365 security posture assessment integration.</w:t>
      </w:r>
    </w:p>
    <w:p>
      <w:pPr>
        <w:pStyle w:val="BodyText"/>
      </w:pPr>
      <w:r>
        <w:t xml:space="preserve">3.7 IR (Intermediate Representation) Pipeline</w:t>
      </w:r>
    </w:p>
    <w:p>
      <w:pPr>
        <w:pStyle w:val="BodyText"/>
      </w:pPr>
      <w:r>
        <w:t xml:space="preserve">The IR pipeline is the analytical and governance core of UIAO. It transforms normalized adapter output (starting with SCuBA) through a deterministic chain: raw results → normalized IR objects → evidence bundles → governance actions → auditor packages. Every stage produces traceable, machine-readable artifacts. The IR layer enables drift detection, freshness tracking, POA&amp;M generation, SSP narrative synthesis, and full auditor evidence packaging — all from a single source-of-truth pipeline.</w:t>
      </w:r>
    </w:p>
    <w:tbl>
      <w:tblPr>
        <w:tblStyle w:val="Table"/>
        <w:tblW w:type="pct" w:w="4940"/>
        <w:tblLayout w:type="fixed"/>
        <w:tblLook w:firstRow="1" w:lastRow="0" w:firstColumn="0" w:lastColumn="0" w:noHBand="0" w:noVBand="0" w:val="0020"/>
      </w:tblPr>
      <w:tblGrid>
        <w:gridCol w:w="1280"/>
        <w:gridCol w:w="3841"/>
        <w:gridCol w:w="2703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Command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Description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Pipeline Role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ir-scuba-transform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Transform normalized SCuBA JSON → IR Evidence objects and print summary.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IR pipeline entry point; canonical evidence creation.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ir-evidence-bundle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Build a canonical EvidenceBundle from a SCuBA transform and print summary.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Evidence aggregation; auditor-consumable unit.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ir-poam-export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Export POA&amp;M rows (FAIL + WARN only) from a SCuBA run and print summary.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Non-passing findings → actionable POA&amp;M entries.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ir-drift-detect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Detect drift between two IR state JSON files and print classification.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Change detection; governance escalation trigger.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ir-governance-report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Run full governance pipeline: SCuBA → IR → Evidence → Actions → Report.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Comprehensive governance report synthesis.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ir-ssp-report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Generate SSP narrative + lineage from SCuBA → IR → Evidence → Governance.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SSP authoring with full provenance lineage.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ir-auditor-bundle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Run full pipeline and write all auditor artifacts to a directory.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Auditor-facing artifact packaging.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ir-diff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Diff two SCuBA runs: KSI changes, evidence hash deltas, status changes.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Trend analysis and regression detection.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ir-validate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Validate a normalized SCuBA JSON file for IR pipeline conformance.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Input validation gate for IR pipeline.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ir-freshness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Compute evidence freshness and generate refresh actions for stale evidence.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ConMon compliance; evidence currency enforcement.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ir-dashboard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Build IR governance dashboard: evidence freshness + governance action summary.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Capstone governance visibility; daily operational use.</w:t>
            </w:r>
          </w:p>
        </w:tc>
      </w:tr>
    </w:tbl>
    <w:p>
      <w:pPr>
        <w:pStyle w:val="BodyText"/>
      </w:pPr>
      <w:r>
        <w:t xml:space="preserve">Details</w:t>
      </w:r>
    </w:p>
    <w:p>
      <w:pPr>
        <w:pStyle w:val="BodyText"/>
      </w:pPr>
      <w:r>
        <w:rPr>
          <w:b/>
          <w:bCs/>
        </w:rPr>
        <w:t xml:space="preserve">ir-scuba-transform</w:t>
      </w:r>
      <w:r>
        <w:t xml:space="preserve"> </w:t>
      </w:r>
      <w:r>
        <w:t xml:space="preserve">— The entry point of the IR pipeline. Takes normalized SCuBA adapter output and transforms it into canonical IR Evidence objects — typed, hashed, timestamped records suitable for governance processing.</w:t>
      </w:r>
    </w:p>
    <w:p>
      <w:pPr>
        <w:pStyle w:val="BodyText"/>
      </w:pPr>
      <w:r>
        <w:rPr>
          <w:b/>
          <w:bCs/>
        </w:rPr>
        <w:t xml:space="preserve">ir-evidence-bundle</w:t>
      </w:r>
      <w:r>
        <w:t xml:space="preserve"> </w:t>
      </w:r>
      <w:r>
        <w:t xml:space="preserve">— Aggregates individual IR Evidence objects into a canonical EvidenceBundle — a signed, timestamped collection with provenance metadata. The bundle is the unit of evidence for auditor consumption and governance reporting.</w:t>
      </w:r>
    </w:p>
    <w:p>
      <w:pPr>
        <w:pStyle w:val="BodyText"/>
      </w:pPr>
      <w:r>
        <w:rPr>
          <w:b/>
          <w:bCs/>
        </w:rPr>
        <w:t xml:space="preserve">ir-poam-export</w:t>
      </w:r>
      <w:r>
        <w:t xml:space="preserve"> </w:t>
      </w:r>
      <w:r>
        <w:t xml:space="preserve">— Extracts all FAIL and WARN findings from an IR pipeline run and formats them as POA&amp;M (Plan of Action &amp; Milestones) rows. Each row includes control mapping, severity, remediation timeline, and responsible party. Only non-passing results generate POA&amp;M entries.</w:t>
      </w:r>
    </w:p>
    <w:p>
      <w:pPr>
        <w:pStyle w:val="BodyText"/>
      </w:pPr>
      <w:r>
        <w:rPr>
          <w:b/>
          <w:bCs/>
        </w:rPr>
        <w:t xml:space="preserve">ir-drift-detect</w:t>
      </w:r>
      <w:r>
        <w:t xml:space="preserve"> </w:t>
      </w:r>
      <w:r>
        <w:t xml:space="preserve">— Compares two IR state snapshots (e.g., consecutive SCuBA runs) and classifies changes: new findings, resolved findings, regressions, severity changes, and configuration drift. Drift classification drives governance escalation workflows.</w:t>
      </w:r>
    </w:p>
    <w:p>
      <w:pPr>
        <w:pStyle w:val="BodyText"/>
      </w:pPr>
      <w:r>
        <w:rPr>
          <w:b/>
          <w:bCs/>
        </w:rPr>
        <w:t xml:space="preserve">ir-governance-report</w:t>
      </w:r>
      <w:r>
        <w:t xml:space="preserve"> </w:t>
      </w:r>
      <w:r>
        <w:t xml:space="preserve">— The full governance pipeline in a single command. Ingests SCuBA output and runs it through every IR stage — transform, evidence bundling, action generation, and report synthesis. Produces a comprehensive governance report with findings, actions, and recommendations.</w:t>
      </w:r>
    </w:p>
    <w:p>
      <w:pPr>
        <w:pStyle w:val="BodyText"/>
      </w:pPr>
      <w:r>
        <w:rPr>
          <w:b/>
          <w:bCs/>
        </w:rPr>
        <w:t xml:space="preserve">ir-ssp-report</w:t>
      </w:r>
      <w:r>
        <w:t xml:space="preserve"> </w:t>
      </w:r>
      <w:r>
        <w:t xml:space="preserve">— Synthesizes an SSP (System Security Plan) narrative section with full provenance lineage — tracing every statement back through the governance pipeline to its source SCuBA finding. Designed for SSP authoring and ATO package preparation.</w:t>
      </w:r>
    </w:p>
    <w:p>
      <w:pPr>
        <w:pStyle w:val="BodyText"/>
      </w:pPr>
      <w:r>
        <w:rPr>
          <w:b/>
          <w:bCs/>
        </w:rPr>
        <w:t xml:space="preserve">ir-auditor-bundle</w:t>
      </w:r>
      <w:r>
        <w:t xml:space="preserve"> </w:t>
      </w:r>
      <w:r>
        <w:t xml:space="preserve">— The auditor-facing command. Runs the complete IR pipeline and writes every artifact — evidence bundles, POA&amp;M exports, governance reports, SSP narratives, drift analyses — to a single directory structure suitable for auditor review.</w:t>
      </w:r>
    </w:p>
    <w:p>
      <w:pPr>
        <w:pStyle w:val="BodyText"/>
      </w:pPr>
      <w:r>
        <w:rPr>
          <w:b/>
          <w:bCs/>
        </w:rPr>
        <w:t xml:space="preserve">ir-diff</w:t>
      </w:r>
      <w:r>
        <w:t xml:space="preserve"> </w:t>
      </w:r>
      <w:r>
        <w:t xml:space="preserve">— A focused comparison tool for two SCuBA assessment runs. Reports KSI-level changes, evidence hash deltas (detecting content changes even when status is unchanged), and status transitions. Used for trend analysis and regression detection.</w:t>
      </w:r>
    </w:p>
    <w:p>
      <w:pPr>
        <w:pStyle w:val="BodyText"/>
      </w:pPr>
      <w:r>
        <w:rPr>
          <w:b/>
          <w:bCs/>
        </w:rPr>
        <w:t xml:space="preserve">ir-validate</w:t>
      </w:r>
      <w:r>
        <w:t xml:space="preserve"> </w:t>
      </w:r>
      <w:r>
        <w:t xml:space="preserve">— Validates that a normalized SCuBA JSON file conforms to the IR pipeline's input schema. Catches structural issues before they propagate through the pipeline — missing fields, invalid enumerations, schema violations.</w:t>
      </w:r>
    </w:p>
    <w:p>
      <w:pPr>
        <w:pStyle w:val="BodyText"/>
      </w:pPr>
      <w:r>
        <w:rPr>
          <w:b/>
          <w:bCs/>
        </w:rPr>
        <w:t xml:space="preserve">ir-freshness</w:t>
      </w:r>
      <w:r>
        <w:t xml:space="preserve"> </w:t>
      </w:r>
      <w:r>
        <w:t xml:space="preserve">— Evaluates the age of every evidence object against its required refresh interval. Produces a freshness report and generates actionable refresh tasks for any evidence that is stale or approaching staleness. Critical for ConMon compliance — evidence must be current to maintain ATO.</w:t>
      </w:r>
    </w:p>
    <w:p>
      <w:pPr>
        <w:pStyle w:val="BodyText"/>
      </w:pPr>
      <w:r>
        <w:rPr>
          <w:b/>
          <w:bCs/>
        </w:rPr>
        <w:t xml:space="preserve">ir-dashboard</w:t>
      </w:r>
      <w:r>
        <w:t xml:space="preserve"> </w:t>
      </w:r>
      <w:r>
        <w:t xml:space="preserve">— The capstone IR command. Produces a governance dashboard combining evidence freshness status, pending governance actions, drift alerts, and pipeline health metrics. Designed for daily operational governance and leadership visibility.</w:t>
      </w:r>
    </w:p>
    <w:p>
      <w:pPr>
        <w:pStyle w:val="BodyText"/>
      </w:pPr>
      <w:r>
        <w:t xml:space="preserve">4. Pipeline Architecture</w:t>
      </w:r>
    </w:p>
    <w:p>
      <w:pPr>
        <w:pStyle w:val="BodyText"/>
      </w:pPr>
      <w:r>
        <w:t xml:space="preserve">The UIAO-Core CLI implements a deterministic pipeline architecture. Every artifact produced by any command is traceable back to its canon YAML source-of-truth. The pipeline flows through the following stages:</w:t>
      </w:r>
    </w:p>
    <w:tbl>
      <w:tblPr>
        <w:tblStyle w:val="Table"/>
        <w:tblW w:type="pct" w:w="2153"/>
        <w:tblLayout w:type="fixed"/>
        <w:tblLook w:firstRow="0" w:lastRow="0" w:firstColumn="0" w:lastColumn="0" w:noHBand="0" w:noVBand="0" w:val="0000"/>
      </w:tblPr>
      <w:tblGrid>
        <w:gridCol w:w="3410"/>
      </w:tblGrid>
      <w:tr>
        <w:tc>
          <w:tcPr/>
          <w:p>
            <w:pPr>
              <w:pStyle w:val="FirstParagraph"/>
            </w:pPr>
            <w:r>
              <w:t xml:space="preserve">Canon YAML (Source of Truth)</w:t>
            </w:r>
          </w:p>
          <w:p>
            <w:pPr>
              <w:pStyle w:val="BodyText"/>
            </w:pPr>
            <w:r>
              <w:t xml:space="preserve">→ Core OSCAL Generation</w:t>
            </w:r>
          </w:p>
          <w:p>
            <w:pPr>
              <w:pStyle w:val="BodyText"/>
            </w:pPr>
            <w:r>
              <w:t xml:space="preserve">→ Visual Rendering</w:t>
            </w:r>
          </w:p>
          <w:p>
            <w:pPr>
              <w:pStyle w:val="BodyText"/>
            </w:pPr>
            <w:r>
              <w:t xml:space="preserve">→ Artifact Packaging</w:t>
            </w:r>
          </w:p>
          <w:p>
            <w:pPr>
              <w:pStyle w:val="BodyText"/>
            </w:pPr>
            <w:r>
              <w:t xml:space="preserve">→ Continuous Monitoring</w:t>
            </w:r>
          </w:p>
          <w:p>
            <w:pPr>
              <w:pStyle w:val="BodyText"/>
            </w:pPr>
            <w:r>
              <w:t xml:space="preserve">→ Adapter Ingestion</w:t>
            </w:r>
          </w:p>
          <w:p>
            <w:pPr>
              <w:pStyle w:val="BodyText"/>
            </w:pPr>
            <w:r>
              <w:t xml:space="preserve">→ IR Pipeline</w:t>
            </w:r>
          </w:p>
          <w:p>
            <w:pPr>
              <w:pStyle w:val="BodyText"/>
            </w:pPr>
            <w:r>
              <w:t xml:space="preserve">→ Governance Reporting</w:t>
            </w:r>
          </w:p>
          <w:p>
            <w:pPr>
              <w:pStyle w:val="BodyText"/>
            </w:pPr>
            <w:r>
              <w:t xml:space="preserve">→ Auditor Delivery</w:t>
            </w:r>
          </w:p>
        </w:tc>
      </w:tr>
    </w:tbl>
    <w:p>
      <w:pPr>
        <w:pStyle w:val="BodyText"/>
      </w:pPr>
      <w:r>
        <w:t xml:space="preserve">The pipeline is designed to be idempotent — any stage can be re-run without side effects. Re-running a stage with identical inputs produces identical outputs. This property is essential for auditability: an auditor can re-execute any pipeline stage and verify that the output matches the delivered artifact.</w:t>
      </w:r>
    </w:p>
    <w:p>
      <w:pPr>
        <w:pStyle w:val="BodyText"/>
      </w:pPr>
      <w:r>
        <w:t xml:space="preserve">The IR pipeline specifically enforces provenance by hashing evidence objects and tracking lineage through every transformation. Each IR Evidence object carries a content hash, a timestamp, and a reference to its source adapter output. EvidenceBundles aggregate these objects with a bundle-level hash, creating a tamper-evident chain from raw vendor assessment through governance action.</w:t>
      </w:r>
    </w:p>
    <w:p>
      <w:pPr>
        <w:pStyle w:val="BodyText"/>
      </w:pPr>
      <w:r>
        <w:t xml:space="preserve">5. Environment &amp; Prerequisites</w:t>
      </w:r>
    </w:p>
    <w:tbl>
      <w:tblPr>
        <w:tblStyle w:val="Table"/>
        <w:tblW w:type="pct" w:w="4929"/>
        <w:tblLayout w:type="fixed"/>
        <w:tblLook w:firstRow="1" w:lastRow="0" w:firstColumn="0" w:lastColumn="0" w:noHBand="0" w:noVBand="0" w:val="0020"/>
      </w:tblPr>
      <w:tblGrid>
        <w:gridCol w:w="1404"/>
        <w:gridCol w:w="6403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Prerequisite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Details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Python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Python 3.14+. The Pydantic V1 compatibility warning emitted by compliance-trestle is expected and non-blocking.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compliance-trestle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NIST compliance-trestle library for OSCAL Pydantic model validation. Required by</w:t>
            </w:r>
            <w:r>
              <w:t xml:space="preserve"> </w:t>
            </w:r>
            <w:r>
              <w:rPr>
                <w:b/>
                <w:bCs/>
              </w:rPr>
              <w:t xml:space="preserve">validate-ssp</w:t>
            </w:r>
            <w:r>
              <w:t xml:space="preserve">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PlantUML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Java runtime required for diagram rendering. Used by</w:t>
            </w:r>
            <w:r>
              <w:t xml:space="preserve"> </w:t>
            </w:r>
            <w:r>
              <w:rPr>
                <w:b/>
                <w:bCs/>
              </w:rPr>
              <w:t xml:space="preserve">generate-visuals</w:t>
            </w:r>
            <w:r>
              <w:t xml:space="preserve"> </w:t>
            </w:r>
            <w:r>
              <w:t xml:space="preserve">and</w:t>
            </w:r>
            <w:r>
              <w:t xml:space="preserve"> </w:t>
            </w:r>
            <w:r>
              <w:rPr>
                <w:b/>
                <w:bCs/>
              </w:rPr>
              <w:t xml:space="preserve">generate-diagrams</w:t>
            </w:r>
            <w:r>
              <w:t xml:space="preserve">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GEMINI_API_KEY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Environment variable required for AI-generated visuals via</w:t>
            </w:r>
            <w:r>
              <w:t xml:space="preserve"> </w:t>
            </w:r>
            <w:r>
              <w:rPr>
                <w:b/>
                <w:bCs/>
              </w:rPr>
              <w:t xml:space="preserve">generate-gemini</w:t>
            </w:r>
            <w:r>
              <w:t xml:space="preserve">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Canon YAML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Canon YAML files must be present and pass</w:t>
            </w:r>
            <w:r>
              <w:t xml:space="preserve"> </w:t>
            </w:r>
            <w:r>
              <w:rPr>
                <w:b/>
                <w:bCs/>
              </w:rPr>
              <w:t xml:space="preserve">canon-check</w:t>
            </w:r>
            <w:r>
              <w:t xml:space="preserve"> </w:t>
            </w:r>
            <w:r>
              <w:t xml:space="preserve">before any generation command is executed.</w:t>
            </w:r>
          </w:p>
        </w:tc>
      </w:tr>
    </w:tbl>
    <w:p>
      <w:pPr>
        <w:pStyle w:val="BodyText"/>
      </w:pPr>
      <w:r>
        <w:t xml:space="preserve"> </w:t>
      </w:r>
    </w:p>
    <w:tbl>
      <w:tblPr>
        <w:tblStyle w:val="Table"/>
        <w:tblW w:type="pct" w:w="5047"/>
        <w:tblLayout w:type="fixed"/>
        <w:tblLook w:firstRow="0" w:lastRow="0" w:firstColumn="0" w:lastColumn="0" w:noHBand="0" w:noVBand="0" w:val="0000"/>
      </w:tblPr>
      <w:tblGrid>
        <w:gridCol w:w="7994"/>
      </w:tblGrid>
      <w:tr>
        <w:tc>
          <w:tcPr/>
          <w:p>
            <w:pPr>
              <w:pStyle w:val="FirstParagraph"/>
            </w:pPr>
            <w:r>
              <w:rPr>
                <w:b/>
                <w:bCs/>
              </w:rPr>
              <w:t xml:space="preserve">Environment Boundaries</w:t>
            </w:r>
          </w:p>
          <w:p>
            <w:pPr>
              <w:pStyle w:val="BlockText"/>
            </w:pPr>
            <w:r>
              <w:t xml:space="preserve">• UIAO operates in</w:t>
            </w:r>
            <w:r>
              <w:t xml:space="preserve"> </w:t>
            </w:r>
            <w:r>
              <w:rPr>
                <w:b/>
                <w:bCs/>
              </w:rPr>
              <w:t xml:space="preserve">Commercial Cloud</w:t>
            </w:r>
            <w:r>
              <w:t xml:space="preserve"> </w:t>
            </w:r>
            <w:r>
              <w:t xml:space="preserve">as governed by FedRAMP.</w:t>
            </w:r>
          </w:p>
          <w:p>
            <w:pPr>
              <w:pStyle w:val="BlockText"/>
            </w:pPr>
            <w:r>
              <w:t xml:space="preserve">•</w:t>
            </w:r>
            <w:r>
              <w:t xml:space="preserve"> </w:t>
            </w:r>
            <w:r>
              <w:rPr>
                <w:b/>
                <w:bCs/>
              </w:rPr>
              <w:t xml:space="preserve">GCC-Moderate</w:t>
            </w:r>
            <w:r>
              <w:t xml:space="preserve"> </w:t>
            </w:r>
            <w:r>
              <w:t xml:space="preserve">applies to Microsoft 365 SaaS services only — it does not include Azure services.</w:t>
            </w:r>
          </w:p>
          <w:p>
            <w:pPr>
              <w:pStyle w:val="BlockText"/>
            </w:pPr>
            <w:r>
              <w:t xml:space="preserve">• Amazon Connect Contact Center is an explicit exception running in Commercial Cloud.</w:t>
            </w:r>
          </w:p>
        </w:tc>
      </w:tr>
    </w:tbl>
    <w:p>
      <w:pPr>
        <w:pStyle w:val="FirstParagraph"/>
      </w:pPr>
      <w:r>
        <w:t xml:space="preserve">6. Canonical Rules</w:t>
      </w:r>
    </w:p>
    <w:p>
      <w:pPr>
        <w:pStyle w:val="BodyText"/>
      </w:pPr>
      <w:r>
        <w:t xml:space="preserve">The following governance rules are authoritative and apply to all UIAO operations, artifacts, and communications: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We are not FedRAMP High.</w:t>
      </w:r>
      <w:r>
        <w:t xml:space="preserve"> </w:t>
      </w:r>
      <w:r>
        <w:t xml:space="preserve">UIAO operates under FedRAMP governance at the applicable baseline; no artifacts, narratives, or communications should assert or imply FedRAMP High authorization.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GCC-Moderate applies to Microsoft 365 SaaS services only.</w:t>
      </w:r>
      <w:r>
        <w:t xml:space="preserve"> </w:t>
      </w:r>
      <w:r>
        <w:t xml:space="preserve">Azure services, Amazon Web Services, and other cloud infrastructure operate under their respective Commercial Cloud authorizations.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UIAO operates in Commercial Cloud as governed by FedRAMP unless specifically noted.</w:t>
      </w:r>
      <w:r>
        <w:t xml:space="preserve"> </w:t>
      </w:r>
      <w:r>
        <w:t xml:space="preserve">Exceptions (e.g., Amazon Connect) are explicitly documented.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No references to any previous version in any context prior to the current version.</w:t>
      </w:r>
      <w:r>
        <w:t xml:space="preserve"> </w:t>
      </w:r>
      <w:r>
        <w:t xml:space="preserve">All artifacts are current-state only. Historical version references are not carried forward.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Every artifact must be canonical, deterministic, and provenance-aligned.</w:t>
      </w:r>
      <w:r>
        <w:t xml:space="preserve"> </w:t>
      </w:r>
      <w:r>
        <w:t xml:space="preserve">Outputs are reproducible from canon YAML, traceable through the pipeline, and consistent across invocations.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UIAO-Core CLI Reference</dc:title>
  <dc:creator>Michael Stratton</dc:creator>
  <cp:keywords/>
  <dcterms:created xsi:type="dcterms:W3CDTF">2026-05-06T19:45:49Z</dcterms:created>
  <dcterms:modified xsi:type="dcterms:W3CDTF">2026-05-06T19:45:49Z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dience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oundary">
    <vt:lpwstr>GCC-Moderate</vt:lpwstr>
  </property>
  <property fmtid="{D5CDD505-2E9C-101B-9397-08002B2CF9AE}" pid="6" name="by-author">
    <vt:lpwstr/>
  </property>
  <property fmtid="{D5CDD505-2E9C-101B-9397-08002B2CF9AE}" pid="7" name="canon-source">
    <vt:lpwstr>inbox/Posted/UIAO-Core CLI Reference.docx</vt:lpwstr>
  </property>
  <property fmtid="{D5CDD505-2E9C-101B-9397-08002B2CF9AE}" pid="8" name="classification">
    <vt:lpwstr>Controlled</vt:lpwstr>
  </property>
  <property fmtid="{D5CDD505-2E9C-101B-9397-08002B2CF9AE}" pid="9" name="created-at">
    <vt:lpwstr>2026-04-26</vt:lpwstr>
  </property>
  <property fmtid="{D5CDD505-2E9C-101B-9397-08002B2CF9AE}" pid="10" name="date">
    <vt:lpwstr>2026-04-01</vt:lpwstr>
  </property>
  <property fmtid="{D5CDD505-2E9C-101B-9397-08002B2CF9AE}" pid="11" name="doc-type">
    <vt:lpwstr>api-reference</vt:lpwstr>
  </property>
  <property fmtid="{D5CDD505-2E9C-101B-9397-08002B2CF9AE}" pid="12" name="engines">
    <vt:lpwstr/>
  </property>
  <property fmtid="{D5CDD505-2E9C-101B-9397-08002B2CF9AE}" pid="13" name="header-includes">
    <vt:lpwstr/>
  </property>
  <property fmtid="{D5CDD505-2E9C-101B-9397-08002B2CF9AE}" pid="14" name="include-after">
    <vt:lpwstr/>
  </property>
  <property fmtid="{D5CDD505-2E9C-101B-9397-08002B2CF9AE}" pid="15" name="include-before">
    <vt:lpwstr/>
  </property>
  <property fmtid="{D5CDD505-2E9C-101B-9397-08002B2CF9AE}" pid="16" name="labels">
    <vt:lpwstr/>
  </property>
  <property fmtid="{D5CDD505-2E9C-101B-9397-08002B2CF9AE}" pid="17" name="repo-path">
    <vt:lpwstr>docs/customer-documents/substrate/platform-tooling/uiao-core-cli-reference.qmd</vt:lpwstr>
  </property>
  <property fmtid="{D5CDD505-2E9C-101B-9397-08002B2CF9AE}" pid="18" name="status">
    <vt:lpwstr>Active</vt:lpwstr>
  </property>
  <property fmtid="{D5CDD505-2E9C-101B-9397-08002B2CF9AE}" pid="19" name="subtitle">
    <vt:lpwstr>OSCAL compliance toolkit command-line reference</vt:lpwstr>
  </property>
  <property fmtid="{D5CDD505-2E9C-101B-9397-08002B2CF9AE}" pid="20" name="toc-title">
    <vt:lpwstr>Table of contents</vt:lpwstr>
  </property>
  <property fmtid="{D5CDD505-2E9C-101B-9397-08002B2CF9AE}" pid="21" name="updated-at">
    <vt:lpwstr>2026-04-26</vt:lpwstr>
  </property>
</Properties>
</file>